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57C86"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32"/>
          <w:szCs w:val="32"/>
          <w:lang w:val="es-AR" w:eastAsia="es-AR"/>
          <w14:ligatures w14:val="none"/>
        </w:rPr>
      </w:pPr>
      <w:r w:rsidRPr="00090CB0">
        <w:rPr>
          <w:rFonts w:ascii="Tahoma" w:eastAsia="Times New Roman" w:hAnsi="Tahoma" w:cs="Tahoma"/>
          <w:color w:val="333333"/>
          <w:kern w:val="0"/>
          <w:sz w:val="32"/>
          <w:szCs w:val="32"/>
          <w:lang w:val="es-AR" w:eastAsia="es-AR"/>
          <w14:ligatures w14:val="none"/>
        </w:rPr>
        <w:t>Curso: </w:t>
      </w:r>
      <w:r w:rsidRPr="00090CB0">
        <w:rPr>
          <w:rFonts w:ascii="Tahoma" w:eastAsia="Times New Roman" w:hAnsi="Tahoma" w:cs="Tahoma"/>
          <w:b/>
          <w:bCs/>
          <w:color w:val="333333"/>
          <w:kern w:val="0"/>
          <w:sz w:val="32"/>
          <w:szCs w:val="32"/>
          <w:lang w:val="es-AR" w:eastAsia="es-AR"/>
          <w14:ligatures w14:val="none"/>
        </w:rPr>
        <w:t>Gestión Ambiental y Normalización</w:t>
      </w:r>
    </w:p>
    <w:p w14:paraId="0C46FC05"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32"/>
          <w:szCs w:val="32"/>
          <w:lang w:val="es-AR" w:eastAsia="es-AR"/>
          <w14:ligatures w14:val="none"/>
        </w:rPr>
      </w:pPr>
      <w:r w:rsidRPr="00090CB0">
        <w:rPr>
          <w:rFonts w:ascii="Tahoma" w:eastAsia="Times New Roman" w:hAnsi="Tahoma" w:cs="Tahoma"/>
          <w:color w:val="333333"/>
          <w:kern w:val="0"/>
          <w:sz w:val="32"/>
          <w:szCs w:val="32"/>
          <w:lang w:val="es-AR" w:eastAsia="es-AR"/>
          <w14:ligatures w14:val="none"/>
        </w:rPr>
        <w:t> </w:t>
      </w:r>
    </w:p>
    <w:p w14:paraId="1A3F0F68"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Unidad Ejecutora: </w:t>
      </w:r>
      <w:r w:rsidRPr="00090CB0">
        <w:rPr>
          <w:rFonts w:ascii="Tahoma" w:eastAsia="Times New Roman" w:hAnsi="Tahoma" w:cs="Tahoma"/>
          <w:b/>
          <w:bCs/>
          <w:color w:val="333333"/>
          <w:kern w:val="0"/>
          <w:sz w:val="20"/>
          <w:szCs w:val="20"/>
          <w:lang w:val="es-AR" w:eastAsia="es-AR"/>
          <w14:ligatures w14:val="none"/>
        </w:rPr>
        <w:t>Instituto de Ingeniería Química</w:t>
      </w:r>
    </w:p>
    <w:p w14:paraId="003EB61E"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t> </w:t>
      </w:r>
    </w:p>
    <w:p w14:paraId="00DD4C42" w14:textId="24BFF6B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44C32BA9"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t>Tipo de asignatura y Destinatarios:</w:t>
      </w:r>
    </w:p>
    <w:p w14:paraId="0E6ED6A4"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Curso Básico Obligatorio para estudiantes inscriptos en la Maestría en Gestión de la Información Ambiental para el Desarrollo Sustentable</w:t>
      </w:r>
    </w:p>
    <w:p w14:paraId="4D2CFB03"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Curso Optativo – para estudiantes inscriptos en la Maestría en Tecnologías Ambientales y en el Doctorado de Ingeniería Química, Mención Procesos Limpios</w:t>
      </w:r>
    </w:p>
    <w:p w14:paraId="51A68D16"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Curso de Perfeccionamiento para Profesionales.</w:t>
      </w:r>
    </w:p>
    <w:p w14:paraId="7D7F6D84"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1C9949B5"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t> </w:t>
      </w:r>
    </w:p>
    <w:tbl>
      <w:tblPr>
        <w:tblW w:w="94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46"/>
        <w:gridCol w:w="2733"/>
        <w:gridCol w:w="1527"/>
        <w:gridCol w:w="2289"/>
      </w:tblGrid>
      <w:tr w:rsidR="00090CB0" w:rsidRPr="00090CB0" w14:paraId="14950658" w14:textId="77777777" w:rsidTr="00090CB0">
        <w:trPr>
          <w:tblCellSpacing w:w="15" w:type="dxa"/>
        </w:trPr>
        <w:tc>
          <w:tcPr>
            <w:tcW w:w="2940" w:type="dxa"/>
            <w:shd w:val="clear" w:color="auto" w:fill="FFFFFF"/>
            <w:vAlign w:val="center"/>
            <w:hideMark/>
          </w:tcPr>
          <w:p w14:paraId="3FAD55D5" w14:textId="77777777" w:rsidR="00090CB0" w:rsidRPr="00090CB0" w:rsidRDefault="00090CB0" w:rsidP="00090CB0">
            <w:pPr>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Docente Responsable</w:t>
            </w:r>
          </w:p>
        </w:tc>
        <w:tc>
          <w:tcPr>
            <w:tcW w:w="4260" w:type="dxa"/>
            <w:gridSpan w:val="2"/>
            <w:shd w:val="clear" w:color="auto" w:fill="FFFFFF"/>
            <w:vAlign w:val="center"/>
            <w:hideMark/>
          </w:tcPr>
          <w:p w14:paraId="77C2A53E" w14:textId="77777777" w:rsidR="00090CB0" w:rsidRPr="00090CB0" w:rsidRDefault="00090CB0" w:rsidP="00090CB0">
            <w:pPr>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Mg. Ing. Acosta Susana</w:t>
            </w:r>
          </w:p>
        </w:tc>
        <w:tc>
          <w:tcPr>
            <w:tcW w:w="2295" w:type="dxa"/>
            <w:shd w:val="clear" w:color="auto" w:fill="FFFFFF"/>
            <w:vAlign w:val="center"/>
            <w:hideMark/>
          </w:tcPr>
          <w:p w14:paraId="014A25B3" w14:textId="77777777" w:rsidR="00090CB0" w:rsidRPr="00090CB0" w:rsidRDefault="00090CB0" w:rsidP="00090CB0">
            <w:pPr>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tc>
      </w:tr>
      <w:tr w:rsidR="00090CB0" w:rsidRPr="00090CB0" w14:paraId="65C65754" w14:textId="77777777" w:rsidTr="00090CB0">
        <w:trPr>
          <w:tblCellSpacing w:w="15" w:type="dxa"/>
        </w:trPr>
        <w:tc>
          <w:tcPr>
            <w:tcW w:w="2940" w:type="dxa"/>
            <w:shd w:val="clear" w:color="auto" w:fill="FFFFFF"/>
            <w:vAlign w:val="center"/>
            <w:hideMark/>
          </w:tcPr>
          <w:p w14:paraId="342107EE" w14:textId="77777777" w:rsidR="00090CB0" w:rsidRPr="00090CB0" w:rsidRDefault="00090CB0" w:rsidP="00090CB0">
            <w:pPr>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Docentes colaboradoras</w:t>
            </w:r>
          </w:p>
        </w:tc>
        <w:tc>
          <w:tcPr>
            <w:tcW w:w="2730" w:type="dxa"/>
            <w:shd w:val="clear" w:color="auto" w:fill="FFFFFF"/>
            <w:vAlign w:val="center"/>
            <w:hideMark/>
          </w:tcPr>
          <w:p w14:paraId="723A1002" w14:textId="77777777" w:rsidR="00090CB0" w:rsidRPr="00090CB0" w:rsidRDefault="00090CB0" w:rsidP="00090CB0">
            <w:pPr>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xml:space="preserve">Mg. </w:t>
            </w:r>
            <w:proofErr w:type="spellStart"/>
            <w:r w:rsidRPr="00090CB0">
              <w:rPr>
                <w:rFonts w:ascii="Tahoma" w:eastAsia="Times New Roman" w:hAnsi="Tahoma" w:cs="Tahoma"/>
                <w:color w:val="333333"/>
                <w:kern w:val="0"/>
                <w:sz w:val="20"/>
                <w:szCs w:val="20"/>
                <w:lang w:val="es-AR" w:eastAsia="es-AR"/>
                <w14:ligatures w14:val="none"/>
              </w:rPr>
              <w:t>Gomez</w:t>
            </w:r>
            <w:proofErr w:type="spellEnd"/>
            <w:r w:rsidRPr="00090CB0">
              <w:rPr>
                <w:rFonts w:ascii="Tahoma" w:eastAsia="Times New Roman" w:hAnsi="Tahoma" w:cs="Tahoma"/>
                <w:color w:val="333333"/>
                <w:kern w:val="0"/>
                <w:sz w:val="20"/>
                <w:szCs w:val="20"/>
                <w:lang w:val="es-AR" w:eastAsia="es-AR"/>
                <w14:ligatures w14:val="none"/>
              </w:rPr>
              <w:t xml:space="preserve"> Navas Natalia</w:t>
            </w:r>
          </w:p>
        </w:tc>
        <w:tc>
          <w:tcPr>
            <w:tcW w:w="3825" w:type="dxa"/>
            <w:gridSpan w:val="2"/>
            <w:shd w:val="clear" w:color="auto" w:fill="FFFFFF"/>
            <w:vAlign w:val="center"/>
            <w:hideMark/>
          </w:tcPr>
          <w:p w14:paraId="38851D6B" w14:textId="77777777" w:rsidR="00090CB0" w:rsidRPr="00090CB0" w:rsidRDefault="00090CB0" w:rsidP="00090CB0">
            <w:pPr>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p>
        </w:tc>
      </w:tr>
      <w:tr w:rsidR="00090CB0" w:rsidRPr="00090CB0" w14:paraId="6383A3EA" w14:textId="77777777" w:rsidTr="00090CB0">
        <w:trPr>
          <w:tblCellSpacing w:w="15" w:type="dxa"/>
        </w:trPr>
        <w:tc>
          <w:tcPr>
            <w:tcW w:w="2940" w:type="dxa"/>
            <w:shd w:val="clear" w:color="auto" w:fill="FFFFFF"/>
            <w:vAlign w:val="center"/>
            <w:hideMark/>
          </w:tcPr>
          <w:p w14:paraId="051119F8" w14:textId="77777777" w:rsidR="00090CB0" w:rsidRPr="00090CB0" w:rsidRDefault="00090CB0" w:rsidP="00090CB0">
            <w:pPr>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tc>
        <w:tc>
          <w:tcPr>
            <w:tcW w:w="2730" w:type="dxa"/>
            <w:shd w:val="clear" w:color="auto" w:fill="FFFFFF"/>
            <w:vAlign w:val="center"/>
            <w:hideMark/>
          </w:tcPr>
          <w:p w14:paraId="7C1DFA82" w14:textId="77777777" w:rsidR="00090CB0" w:rsidRPr="00090CB0" w:rsidRDefault="00090CB0" w:rsidP="00090CB0">
            <w:pPr>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Dra. Udaquiola Stella Maris</w:t>
            </w:r>
          </w:p>
        </w:tc>
        <w:tc>
          <w:tcPr>
            <w:tcW w:w="3825" w:type="dxa"/>
            <w:gridSpan w:val="2"/>
            <w:shd w:val="clear" w:color="auto" w:fill="FFFFFF"/>
            <w:vAlign w:val="center"/>
            <w:hideMark/>
          </w:tcPr>
          <w:p w14:paraId="25204F01" w14:textId="77777777" w:rsidR="00090CB0" w:rsidRPr="00090CB0" w:rsidRDefault="00090CB0" w:rsidP="00090CB0">
            <w:pPr>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p>
        </w:tc>
      </w:tr>
      <w:tr w:rsidR="00090CB0" w:rsidRPr="00090CB0" w14:paraId="05BDBB3C" w14:textId="77777777" w:rsidTr="00090CB0">
        <w:trPr>
          <w:tblCellSpacing w:w="15" w:type="dxa"/>
        </w:trPr>
        <w:tc>
          <w:tcPr>
            <w:tcW w:w="2940" w:type="dxa"/>
            <w:shd w:val="clear" w:color="auto" w:fill="FFFFFF"/>
            <w:vAlign w:val="center"/>
            <w:hideMark/>
          </w:tcPr>
          <w:p w14:paraId="4C343DF2" w14:textId="77777777" w:rsidR="00090CB0" w:rsidRPr="00090CB0" w:rsidRDefault="00090CB0" w:rsidP="00090CB0">
            <w:pPr>
              <w:spacing w:after="0"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tc>
        <w:tc>
          <w:tcPr>
            <w:tcW w:w="2730" w:type="dxa"/>
            <w:shd w:val="clear" w:color="auto" w:fill="FFFFFF"/>
            <w:vAlign w:val="center"/>
            <w:hideMark/>
          </w:tcPr>
          <w:p w14:paraId="0B394303" w14:textId="77777777" w:rsidR="00090CB0" w:rsidRPr="00090CB0" w:rsidRDefault="00090CB0" w:rsidP="00090CB0">
            <w:pPr>
              <w:spacing w:after="0"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tc>
        <w:tc>
          <w:tcPr>
            <w:tcW w:w="1530" w:type="dxa"/>
            <w:shd w:val="clear" w:color="auto" w:fill="FFFFFF"/>
            <w:vAlign w:val="center"/>
            <w:hideMark/>
          </w:tcPr>
          <w:p w14:paraId="2ECC7241" w14:textId="77777777" w:rsidR="00090CB0" w:rsidRPr="00090CB0" w:rsidRDefault="00090CB0" w:rsidP="00090CB0">
            <w:pPr>
              <w:spacing w:after="0"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tc>
        <w:tc>
          <w:tcPr>
            <w:tcW w:w="2295" w:type="dxa"/>
            <w:shd w:val="clear" w:color="auto" w:fill="FFFFFF"/>
            <w:vAlign w:val="center"/>
            <w:hideMark/>
          </w:tcPr>
          <w:p w14:paraId="7447E8DF" w14:textId="77777777" w:rsidR="00090CB0" w:rsidRPr="00090CB0" w:rsidRDefault="00090CB0" w:rsidP="00090CB0">
            <w:pPr>
              <w:spacing w:after="0"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tc>
      </w:tr>
    </w:tbl>
    <w:p w14:paraId="5AC4A8F7"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53"/>
        <w:gridCol w:w="6351"/>
      </w:tblGrid>
      <w:tr w:rsidR="00090CB0" w:rsidRPr="00090CB0" w14:paraId="13F8E8A7" w14:textId="77777777" w:rsidTr="00090CB0">
        <w:trPr>
          <w:tblCellSpacing w:w="15" w:type="dxa"/>
        </w:trPr>
        <w:tc>
          <w:tcPr>
            <w:tcW w:w="2520" w:type="dxa"/>
            <w:shd w:val="clear" w:color="auto" w:fill="FFFFFF"/>
            <w:vAlign w:val="center"/>
            <w:hideMark/>
          </w:tcPr>
          <w:p w14:paraId="4592E01A" w14:textId="77777777" w:rsidR="00090CB0" w:rsidRPr="00090CB0" w:rsidRDefault="00090CB0" w:rsidP="00090CB0">
            <w:pPr>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Modalidad del curso:</w:t>
            </w:r>
          </w:p>
        </w:tc>
        <w:tc>
          <w:tcPr>
            <w:tcW w:w="8115" w:type="dxa"/>
            <w:shd w:val="clear" w:color="auto" w:fill="FFFFFF"/>
            <w:vAlign w:val="center"/>
            <w:hideMark/>
          </w:tcPr>
          <w:p w14:paraId="2EAC0D27" w14:textId="77777777" w:rsidR="00090CB0" w:rsidRPr="00090CB0" w:rsidRDefault="00090CB0" w:rsidP="00090CB0">
            <w:pPr>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t>Presencial mediado por tecnología</w:t>
            </w:r>
          </w:p>
          <w:p w14:paraId="1981647E" w14:textId="77777777" w:rsidR="00090CB0" w:rsidRPr="00090CB0" w:rsidRDefault="00090CB0" w:rsidP="00090CB0">
            <w:pPr>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tc>
      </w:tr>
      <w:tr w:rsidR="00090CB0" w:rsidRPr="00090CB0" w14:paraId="55A1483A" w14:textId="77777777" w:rsidTr="00090CB0">
        <w:trPr>
          <w:tblCellSpacing w:w="15" w:type="dxa"/>
        </w:trPr>
        <w:tc>
          <w:tcPr>
            <w:tcW w:w="2520" w:type="dxa"/>
            <w:shd w:val="clear" w:color="auto" w:fill="FFFFFF"/>
            <w:vAlign w:val="center"/>
            <w:hideMark/>
          </w:tcPr>
          <w:p w14:paraId="4F020EF5" w14:textId="77777777" w:rsidR="00090CB0" w:rsidRPr="00090CB0" w:rsidRDefault="00090CB0" w:rsidP="00090CB0">
            <w:pPr>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tc>
        <w:tc>
          <w:tcPr>
            <w:tcW w:w="8115" w:type="dxa"/>
            <w:shd w:val="clear" w:color="auto" w:fill="FFFFFF"/>
            <w:vAlign w:val="center"/>
            <w:hideMark/>
          </w:tcPr>
          <w:p w14:paraId="1D04A100" w14:textId="77777777" w:rsidR="00090CB0" w:rsidRPr="00090CB0" w:rsidRDefault="00090CB0" w:rsidP="00090CB0">
            <w:pPr>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t>Clases teóricas y seminarios prácticos</w:t>
            </w:r>
          </w:p>
        </w:tc>
      </w:tr>
    </w:tbl>
    <w:p w14:paraId="275CC0FF"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t> </w:t>
      </w:r>
    </w:p>
    <w:p w14:paraId="2C64CE01"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323FCE43"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Período de dictado: </w:t>
      </w:r>
      <w:r w:rsidRPr="00090CB0">
        <w:rPr>
          <w:rFonts w:ascii="Tahoma" w:eastAsia="Times New Roman" w:hAnsi="Tahoma" w:cs="Tahoma"/>
          <w:b/>
          <w:bCs/>
          <w:color w:val="333333"/>
          <w:kern w:val="0"/>
          <w:sz w:val="20"/>
          <w:szCs w:val="20"/>
          <w:lang w:val="es-AR" w:eastAsia="es-AR"/>
          <w14:ligatures w14:val="none"/>
        </w:rPr>
        <w:t>15 de Abril al 20 de Mayo de 2025</w:t>
      </w:r>
    </w:p>
    <w:p w14:paraId="54D8A845"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16BC474B"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Cupo: </w:t>
      </w:r>
      <w:r w:rsidRPr="00090CB0">
        <w:rPr>
          <w:rFonts w:ascii="Tahoma" w:eastAsia="Times New Roman" w:hAnsi="Tahoma" w:cs="Tahoma"/>
          <w:b/>
          <w:bCs/>
          <w:color w:val="333333"/>
          <w:kern w:val="0"/>
          <w:sz w:val="20"/>
          <w:szCs w:val="20"/>
          <w:lang w:val="es-AR" w:eastAsia="es-AR"/>
          <w14:ligatures w14:val="none"/>
        </w:rPr>
        <w:t>10 asistentes</w:t>
      </w:r>
    </w:p>
    <w:p w14:paraId="5007D51F"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5787EE09"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Lugar de dictado: </w:t>
      </w:r>
      <w:r w:rsidRPr="00090CB0">
        <w:rPr>
          <w:rFonts w:ascii="Tahoma" w:eastAsia="Times New Roman" w:hAnsi="Tahoma" w:cs="Tahoma"/>
          <w:b/>
          <w:bCs/>
          <w:color w:val="333333"/>
          <w:kern w:val="0"/>
          <w:sz w:val="20"/>
          <w:szCs w:val="20"/>
          <w:lang w:val="es-AR" w:eastAsia="es-AR"/>
          <w14:ligatures w14:val="none"/>
        </w:rPr>
        <w:t>Aula de Posgrado del Instituto de Ingeniería Química – 2° piso</w:t>
      </w:r>
    </w:p>
    <w:p w14:paraId="14C3BF11"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3485A2F4"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lastRenderedPageBreak/>
        <w:t>Aranceles:</w:t>
      </w:r>
    </w:p>
    <w:p w14:paraId="05C931D4" w14:textId="77777777" w:rsidR="00090CB0" w:rsidRPr="00090CB0" w:rsidRDefault="00090CB0" w:rsidP="00090CB0">
      <w:pPr>
        <w:numPr>
          <w:ilvl w:val="0"/>
          <w:numId w:val="1"/>
        </w:num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$60000 (Se otorgarán becas parciales para personal de la UNSJ)</w:t>
      </w:r>
    </w:p>
    <w:p w14:paraId="12893490"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34B221AD"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30C2A784"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t>INSCRIPCIONES</w:t>
      </w:r>
    </w:p>
    <w:p w14:paraId="36A1393D"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t> </w:t>
      </w:r>
    </w:p>
    <w:p w14:paraId="621D9B2C"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Para inscribirse los interesados deben completar el Formulario Google y enviarlo.</w:t>
      </w:r>
    </w:p>
    <w:p w14:paraId="24D6C1CD"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hyperlink r:id="rId5" w:tgtFrame="_blank" w:history="1">
        <w:r w:rsidRPr="00090CB0">
          <w:rPr>
            <w:rFonts w:ascii="Tahoma" w:eastAsia="Times New Roman" w:hAnsi="Tahoma" w:cs="Tahoma"/>
            <w:color w:val="0069A6"/>
            <w:kern w:val="0"/>
            <w:sz w:val="20"/>
            <w:szCs w:val="20"/>
            <w:u w:val="single"/>
            <w:lang w:val="es-AR" w:eastAsia="es-AR"/>
            <w14:ligatures w14:val="none"/>
          </w:rPr>
          <w:t>https://docs.google.com/forms/d/e/1FAIpQLSfDUAB58ZHLc6_sVvvt1ZH0I6a5eoqdJB3b7Zl6Zt3ThLf4AQ/viewform?usp=header</w:t>
        </w:r>
      </w:hyperlink>
    </w:p>
    <w:p w14:paraId="5DD58EA4"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64CE1A1E"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51CCEA5B"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El pago del Arancel se puede realizar por transferencia y/o depósito bancario en la siguiente cuenta:</w:t>
      </w:r>
    </w:p>
    <w:p w14:paraId="3D478FC2"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______________________________________________</w:t>
      </w:r>
    </w:p>
    <w:p w14:paraId="7D62D220"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Cuenta para depósitos arancel curso en pesos:</w:t>
      </w:r>
    </w:p>
    <w:p w14:paraId="53240EDC"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xml:space="preserve">BANCO PATAGONIA - </w:t>
      </w:r>
      <w:proofErr w:type="spellStart"/>
      <w:r w:rsidRPr="00090CB0">
        <w:rPr>
          <w:rFonts w:ascii="Tahoma" w:eastAsia="Times New Roman" w:hAnsi="Tahoma" w:cs="Tahoma"/>
          <w:color w:val="333333"/>
          <w:kern w:val="0"/>
          <w:sz w:val="20"/>
          <w:szCs w:val="20"/>
          <w:lang w:val="es-AR" w:eastAsia="es-AR"/>
          <w14:ligatures w14:val="none"/>
        </w:rPr>
        <w:t>Nº</w:t>
      </w:r>
      <w:proofErr w:type="spellEnd"/>
      <w:r w:rsidRPr="00090CB0">
        <w:rPr>
          <w:rFonts w:ascii="Tahoma" w:eastAsia="Times New Roman" w:hAnsi="Tahoma" w:cs="Tahoma"/>
          <w:color w:val="333333"/>
          <w:kern w:val="0"/>
          <w:sz w:val="20"/>
          <w:szCs w:val="20"/>
          <w:lang w:val="es-AR" w:eastAsia="es-AR"/>
          <w14:ligatures w14:val="none"/>
        </w:rPr>
        <w:t xml:space="preserve"> DE CTA. 210636555</w:t>
      </w:r>
    </w:p>
    <w:p w14:paraId="295AE3DE"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FUUNSAJPOSG ING I-CBU: 03402100-08210636555007</w:t>
      </w:r>
    </w:p>
    <w:p w14:paraId="1EE47C3D"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Titular: FUNDACION UNSJ </w:t>
      </w:r>
    </w:p>
    <w:p w14:paraId="3E7EF9AA"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xml:space="preserve">CUIT </w:t>
      </w:r>
      <w:proofErr w:type="spellStart"/>
      <w:r w:rsidRPr="00090CB0">
        <w:rPr>
          <w:rFonts w:ascii="Tahoma" w:eastAsia="Times New Roman" w:hAnsi="Tahoma" w:cs="Tahoma"/>
          <w:color w:val="333333"/>
          <w:kern w:val="0"/>
          <w:sz w:val="20"/>
          <w:szCs w:val="20"/>
          <w:lang w:val="es-AR" w:eastAsia="es-AR"/>
          <w14:ligatures w14:val="none"/>
        </w:rPr>
        <w:t>Nº</w:t>
      </w:r>
      <w:proofErr w:type="spellEnd"/>
      <w:r w:rsidRPr="00090CB0">
        <w:rPr>
          <w:rFonts w:ascii="Tahoma" w:eastAsia="Times New Roman" w:hAnsi="Tahoma" w:cs="Tahoma"/>
          <w:color w:val="333333"/>
          <w:kern w:val="0"/>
          <w:sz w:val="20"/>
          <w:szCs w:val="20"/>
          <w:lang w:val="es-AR" w:eastAsia="es-AR"/>
          <w14:ligatures w14:val="none"/>
        </w:rPr>
        <w:t>: 30-63555277-4</w:t>
      </w:r>
    </w:p>
    <w:p w14:paraId="283CCFDE"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______________________________________________</w:t>
      </w:r>
    </w:p>
    <w:p w14:paraId="3FFF3AB6"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3D7C2166"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Informes:</w:t>
      </w:r>
    </w:p>
    <w:p w14:paraId="5E1A1241"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Vía e-mail: mfs@unsj.edu.ar, sacosta@unsj.edu.ar</w:t>
      </w:r>
    </w:p>
    <w:p w14:paraId="293B3D67"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60AF6092"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Instituto de Ingeniería Química – IIQ – www.iiq.unsj.edu.ar         </w:t>
      </w:r>
    </w:p>
    <w:p w14:paraId="4318BE2B"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Facultad de Ingeniería – www.fi.unsj.edu.ar   </w:t>
      </w:r>
    </w:p>
    <w:p w14:paraId="27445E80"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Tel. +54 264 4211700 – Internos: 233 o 453 y luego 27</w:t>
      </w:r>
    </w:p>
    <w:p w14:paraId="04EA170A"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23829980"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lastRenderedPageBreak/>
        <w:t>Objetivos:</w:t>
      </w:r>
    </w:p>
    <w:p w14:paraId="6447862F"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Desarrollar:</w:t>
      </w:r>
    </w:p>
    <w:p w14:paraId="26F3AC3E" w14:textId="77777777" w:rsidR="00090CB0" w:rsidRPr="00090CB0" w:rsidRDefault="00090CB0" w:rsidP="00090CB0">
      <w:pPr>
        <w:numPr>
          <w:ilvl w:val="0"/>
          <w:numId w:val="2"/>
        </w:num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Conocimiento de los instrumentos y herramientas de Gestión Ambiental y capacidad de aplicación de las mismas</w:t>
      </w:r>
    </w:p>
    <w:p w14:paraId="6D2380F7" w14:textId="77777777" w:rsidR="00090CB0" w:rsidRPr="00090CB0" w:rsidRDefault="00090CB0" w:rsidP="00090CB0">
      <w:pPr>
        <w:numPr>
          <w:ilvl w:val="0"/>
          <w:numId w:val="2"/>
        </w:num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Capacidad en la identificación de aspectos e impactos ambientales prioritarios en la gestión ambiental</w:t>
      </w:r>
    </w:p>
    <w:p w14:paraId="061777A6" w14:textId="77777777" w:rsidR="00090CB0" w:rsidRPr="00090CB0" w:rsidRDefault="00090CB0" w:rsidP="00090CB0">
      <w:pPr>
        <w:numPr>
          <w:ilvl w:val="0"/>
          <w:numId w:val="2"/>
        </w:num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Capacidad para preparar y organizar un sistema de gestión ambiental</w:t>
      </w:r>
    </w:p>
    <w:p w14:paraId="4D55CEC8" w14:textId="77777777" w:rsidR="00090CB0" w:rsidRPr="00090CB0" w:rsidRDefault="00090CB0" w:rsidP="00090CB0">
      <w:pPr>
        <w:numPr>
          <w:ilvl w:val="0"/>
          <w:numId w:val="2"/>
        </w:num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Conocimiento sobre las normas ambientales y específicamente sistema ISO 14000</w:t>
      </w:r>
    </w:p>
    <w:p w14:paraId="6FEAA053" w14:textId="77777777" w:rsidR="00090CB0" w:rsidRPr="00090CB0" w:rsidRDefault="00090CB0" w:rsidP="00090CB0">
      <w:pPr>
        <w:numPr>
          <w:ilvl w:val="0"/>
          <w:numId w:val="2"/>
        </w:num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Capacidad para aplicar la norma IRAM-ISO 14001</w:t>
      </w:r>
    </w:p>
    <w:p w14:paraId="17158FE8" w14:textId="77777777" w:rsidR="00090CB0" w:rsidRPr="00090CB0" w:rsidRDefault="00090CB0" w:rsidP="00090CB0">
      <w:pPr>
        <w:numPr>
          <w:ilvl w:val="0"/>
          <w:numId w:val="2"/>
        </w:num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Capacidad para ordenar, sistematizar y presentar la documentación del Sistema de Gestión Medioambiental</w:t>
      </w:r>
    </w:p>
    <w:p w14:paraId="313E8595"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469777DA"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t>Contenidos</w:t>
      </w:r>
    </w:p>
    <w:p w14:paraId="3BDDAE0D"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i/>
          <w:iCs/>
          <w:color w:val="333333"/>
          <w:kern w:val="0"/>
          <w:sz w:val="20"/>
          <w:szCs w:val="20"/>
          <w:lang w:val="es-AR" w:eastAsia="es-AR"/>
          <w14:ligatures w14:val="none"/>
        </w:rPr>
        <w:t>Unidad 1: Concepto y Definiciones de la Gestión Ambiental</w:t>
      </w:r>
    </w:p>
    <w:p w14:paraId="426B09FB"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xml:space="preserve">Conceptos fundamentales.  Gestión ambiental. </w:t>
      </w:r>
      <w:proofErr w:type="spellStart"/>
      <w:r w:rsidRPr="00090CB0">
        <w:rPr>
          <w:rFonts w:ascii="Tahoma" w:eastAsia="Times New Roman" w:hAnsi="Tahoma" w:cs="Tahoma"/>
          <w:color w:val="333333"/>
          <w:kern w:val="0"/>
          <w:sz w:val="20"/>
          <w:szCs w:val="20"/>
          <w:lang w:val="es-AR" w:eastAsia="es-AR"/>
          <w14:ligatures w14:val="none"/>
        </w:rPr>
        <w:t>Globalizacion</w:t>
      </w:r>
      <w:proofErr w:type="spellEnd"/>
      <w:r w:rsidRPr="00090CB0">
        <w:rPr>
          <w:rFonts w:ascii="Tahoma" w:eastAsia="Times New Roman" w:hAnsi="Tahoma" w:cs="Tahoma"/>
          <w:color w:val="333333"/>
          <w:kern w:val="0"/>
          <w:sz w:val="20"/>
          <w:szCs w:val="20"/>
          <w:lang w:val="es-AR" w:eastAsia="es-AR"/>
          <w14:ligatures w14:val="none"/>
        </w:rPr>
        <w:t>.    Integración con el desarrollo sostenible y las políticas ambientales.  Concepto de desarrollo sustentable.  Responsabilidad social empresaria.  Deberes de la empresa. Funciones del estado.  Factores determinantes de la gestión ambiental. Principales enfoques de la gestión ambiental.</w:t>
      </w:r>
    </w:p>
    <w:p w14:paraId="1F6AB32F"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5B68D31C"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i/>
          <w:iCs/>
          <w:color w:val="333333"/>
          <w:kern w:val="0"/>
          <w:sz w:val="20"/>
          <w:szCs w:val="20"/>
          <w:lang w:val="es-AR" w:eastAsia="es-AR"/>
          <w14:ligatures w14:val="none"/>
        </w:rPr>
        <w:t>Unidad 2: Gestión Ambiental Pública</w:t>
      </w:r>
    </w:p>
    <w:p w14:paraId="5F77CC7C"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Gestión ambiental pública nacional y provincial. Escenarios.  Importancia. Circunstancias. En el campo de la evolución de la política global. En el campo del orden económico global. En el campo de desarrollo social. Organismos nacionales con incumbencias ambientales. Funciones.  COFEMA. Condiciones favorables de la Argentina. Grandes problemas ambientales de la Argentina y San Juan.</w:t>
      </w:r>
    </w:p>
    <w:p w14:paraId="11EC9FCB"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i/>
          <w:iCs/>
          <w:color w:val="333333"/>
          <w:kern w:val="0"/>
          <w:sz w:val="20"/>
          <w:szCs w:val="20"/>
          <w:lang w:val="es-AR" w:eastAsia="es-AR"/>
          <w14:ligatures w14:val="none"/>
        </w:rPr>
        <w:t>Unidad 3: Herramientas de la Gestión Ambiental</w:t>
      </w:r>
    </w:p>
    <w:p w14:paraId="3DBAF40E"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Principales herramientas de gestión ambiental. Definición. Utilidad. Herramientas operativas. Herramientas financieras. Herramientas institucionales. Herramientas legales.  Evaluación de Impacto Ambiental. Programas de Monitoreo Ambiental. Auditoría ambiental. Análisis de riesgos. "</w:t>
      </w:r>
      <w:proofErr w:type="spellStart"/>
      <w:r w:rsidRPr="00090CB0">
        <w:rPr>
          <w:rFonts w:ascii="Tahoma" w:eastAsia="Times New Roman" w:hAnsi="Tahoma" w:cs="Tahoma"/>
          <w:color w:val="333333"/>
          <w:kern w:val="0"/>
          <w:sz w:val="20"/>
          <w:szCs w:val="20"/>
          <w:lang w:val="es-AR" w:eastAsia="es-AR"/>
          <w14:ligatures w14:val="none"/>
        </w:rPr>
        <w:t>Due</w:t>
      </w:r>
      <w:proofErr w:type="spellEnd"/>
      <w:r w:rsidRPr="00090CB0">
        <w:rPr>
          <w:rFonts w:ascii="Tahoma" w:eastAsia="Times New Roman" w:hAnsi="Tahoma" w:cs="Tahoma"/>
          <w:color w:val="333333"/>
          <w:kern w:val="0"/>
          <w:sz w:val="20"/>
          <w:szCs w:val="20"/>
          <w:lang w:val="es-AR" w:eastAsia="es-AR"/>
          <w14:ligatures w14:val="none"/>
        </w:rPr>
        <w:t xml:space="preserve"> </w:t>
      </w:r>
      <w:proofErr w:type="spellStart"/>
      <w:r w:rsidRPr="00090CB0">
        <w:rPr>
          <w:rFonts w:ascii="Tahoma" w:eastAsia="Times New Roman" w:hAnsi="Tahoma" w:cs="Tahoma"/>
          <w:color w:val="333333"/>
          <w:kern w:val="0"/>
          <w:sz w:val="20"/>
          <w:szCs w:val="20"/>
          <w:lang w:val="es-AR" w:eastAsia="es-AR"/>
          <w14:ligatures w14:val="none"/>
        </w:rPr>
        <w:t>diligence</w:t>
      </w:r>
      <w:proofErr w:type="spellEnd"/>
      <w:r w:rsidRPr="00090CB0">
        <w:rPr>
          <w:rFonts w:ascii="Tahoma" w:eastAsia="Times New Roman" w:hAnsi="Tahoma" w:cs="Tahoma"/>
          <w:color w:val="333333"/>
          <w:kern w:val="0"/>
          <w:sz w:val="20"/>
          <w:szCs w:val="20"/>
          <w:lang w:val="es-AR" w:eastAsia="es-AR"/>
          <w14:ligatures w14:val="none"/>
        </w:rPr>
        <w:t>". Programas de recuperación ambiental.  Programas de medidas de emergencia.  Programas de comunicación. Sistema de Gestión Ambiental ISO 14000</w:t>
      </w:r>
    </w:p>
    <w:p w14:paraId="48319799"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3191B29B"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i/>
          <w:iCs/>
          <w:color w:val="333333"/>
          <w:kern w:val="0"/>
          <w:sz w:val="20"/>
          <w:szCs w:val="20"/>
          <w:lang w:val="es-AR" w:eastAsia="es-AR"/>
          <w14:ligatures w14:val="none"/>
        </w:rPr>
        <w:t>Unidad 4: Elementos básicos de la Ecoeficiencia</w:t>
      </w:r>
    </w:p>
    <w:p w14:paraId="3D7DBEF9"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t>Ecoeficiencia</w:t>
      </w:r>
      <w:r w:rsidRPr="00090CB0">
        <w:rPr>
          <w:rFonts w:ascii="Tahoma" w:eastAsia="Times New Roman" w:hAnsi="Tahoma" w:cs="Tahoma"/>
          <w:color w:val="333333"/>
          <w:kern w:val="0"/>
          <w:sz w:val="20"/>
          <w:szCs w:val="20"/>
          <w:lang w:val="es-AR" w:eastAsia="es-AR"/>
          <w14:ligatures w14:val="none"/>
        </w:rPr>
        <w:t>. Elementos de la ecoeficiencia. Estrategias empresarias para alcanzar la ecoeficiencia en el marco de la Gestión Ambiental. </w:t>
      </w:r>
      <w:r w:rsidRPr="00090CB0">
        <w:rPr>
          <w:rFonts w:ascii="Tahoma" w:eastAsia="Times New Roman" w:hAnsi="Tahoma" w:cs="Tahoma"/>
          <w:b/>
          <w:bCs/>
          <w:color w:val="333333"/>
          <w:kern w:val="0"/>
          <w:sz w:val="20"/>
          <w:szCs w:val="20"/>
          <w:lang w:val="es-AR" w:eastAsia="es-AR"/>
          <w14:ligatures w14:val="none"/>
        </w:rPr>
        <w:t>Uso sostenible del suelo</w:t>
      </w:r>
      <w:r w:rsidRPr="00090CB0">
        <w:rPr>
          <w:rFonts w:ascii="Tahoma" w:eastAsia="Times New Roman" w:hAnsi="Tahoma" w:cs="Tahoma"/>
          <w:color w:val="333333"/>
          <w:kern w:val="0"/>
          <w:sz w:val="20"/>
          <w:szCs w:val="20"/>
          <w:lang w:val="es-AR" w:eastAsia="es-AR"/>
          <w14:ligatures w14:val="none"/>
        </w:rPr>
        <w:t>. Ordenamiento territorial. Áreas protegidas. Manejo de recursos naturales. Flora y fauna. Pasivos ambientales.</w:t>
      </w:r>
    </w:p>
    <w:p w14:paraId="1C14280E"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t>Gestión del recurso agua</w:t>
      </w:r>
      <w:r w:rsidRPr="00090CB0">
        <w:rPr>
          <w:rFonts w:ascii="Tahoma" w:eastAsia="Times New Roman" w:hAnsi="Tahoma" w:cs="Tahoma"/>
          <w:color w:val="333333"/>
          <w:kern w:val="0"/>
          <w:sz w:val="20"/>
          <w:szCs w:val="20"/>
          <w:lang w:val="es-AR" w:eastAsia="es-AR"/>
          <w14:ligatures w14:val="none"/>
        </w:rPr>
        <w:t>. Aguas superficiales. Aguas subterráneas. Contaminación del agua. Tipos de contaminación; industrial, urbana, natural. Fuentes, medios y agentes contaminantes. Monitoreo y saneamiento. Nociones de tratamiento de aguas servidas e industriales. Medidas de ahorro del recurso.</w:t>
      </w:r>
    </w:p>
    <w:p w14:paraId="4C517382"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lastRenderedPageBreak/>
        <w:t>Gestión del recurso aire</w:t>
      </w:r>
      <w:r w:rsidRPr="00090CB0">
        <w:rPr>
          <w:rFonts w:ascii="Tahoma" w:eastAsia="Times New Roman" w:hAnsi="Tahoma" w:cs="Tahoma"/>
          <w:color w:val="333333"/>
          <w:kern w:val="0"/>
          <w:sz w:val="20"/>
          <w:szCs w:val="20"/>
          <w:lang w:val="es-AR" w:eastAsia="es-AR"/>
          <w14:ligatures w14:val="none"/>
        </w:rPr>
        <w:t>. Atmósfera. Descripción física y química. Polución: gases aerosoles y material particulado. Clasificación de las fuentes generadoras. Efectos. Lluvia ácida. Efecto invernadero. Capa de ozono. Sistemas de monitoreo. Inventario de emisiones. Políticas y estrategias de control. Programas de calidad de aire</w:t>
      </w:r>
    </w:p>
    <w:p w14:paraId="6BC91492"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t>Gestión de residuos sólidos</w:t>
      </w:r>
      <w:r w:rsidRPr="00090CB0">
        <w:rPr>
          <w:rFonts w:ascii="Tahoma" w:eastAsia="Times New Roman" w:hAnsi="Tahoma" w:cs="Tahoma"/>
          <w:color w:val="333333"/>
          <w:kern w:val="0"/>
          <w:sz w:val="20"/>
          <w:szCs w:val="20"/>
          <w:lang w:val="es-AR" w:eastAsia="es-AR"/>
          <w14:ligatures w14:val="none"/>
        </w:rPr>
        <w:t>.  Clasificación. Recolección y transporte. Sistemas de tratamiento. Reciclaje. Medidas ecoeficientes de manejo de residuos</w:t>
      </w:r>
    </w:p>
    <w:p w14:paraId="1C2716C8"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22A1C64F"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i/>
          <w:iCs/>
          <w:color w:val="333333"/>
          <w:kern w:val="0"/>
          <w:sz w:val="20"/>
          <w:szCs w:val="20"/>
          <w:lang w:val="es-AR" w:eastAsia="es-AR"/>
          <w14:ligatures w14:val="none"/>
        </w:rPr>
        <w:t>Unidad 5: Normas ISO 14000</w:t>
      </w:r>
    </w:p>
    <w:p w14:paraId="33417B66"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Análisis de la serie ISO 14000. Especificaciones. Campo de aplicación. Principales definiciones. Gestión global de la empresa. Principios de un SGA. Modelo de SGA. Estructura de la norma ISO 14001. Revisión inicial ambiental. Planificación. Implementación. Verificación y control. Estructura de la norma 14004.</w:t>
      </w:r>
    </w:p>
    <w:p w14:paraId="7227C275"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Norma ISO 19011:2002. Objeto. Campo de aplicación. Norma ISO 14015: 2001. Objeto. Generalidades. Definiciones y principios. Criterios de evaluación. Estructura de la norma. Norma ISO 14031. Evaluación del desempeño ambiental. Indicadores del desempeño ambiental.</w:t>
      </w:r>
    </w:p>
    <w:p w14:paraId="7A5BEA80"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33403533"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i/>
          <w:iCs/>
          <w:color w:val="333333"/>
          <w:kern w:val="0"/>
          <w:sz w:val="20"/>
          <w:szCs w:val="20"/>
          <w:lang w:val="es-AR" w:eastAsia="es-AR"/>
          <w14:ligatures w14:val="none"/>
        </w:rPr>
        <w:t>Unidad 6: Norma IRAM-ISO 14001</w:t>
      </w:r>
    </w:p>
    <w:p w14:paraId="4145B361"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xml:space="preserve">Sistemas de gestión ambiental. Introducción a la norma IRAM-ISO 14001:2004. Norma ISO 14004: Directivas generales sobre principio, sistemas y técnicas de apoyo. </w:t>
      </w:r>
      <w:proofErr w:type="spellStart"/>
      <w:r w:rsidRPr="00090CB0">
        <w:rPr>
          <w:rFonts w:ascii="Tahoma" w:eastAsia="Times New Roman" w:hAnsi="Tahoma" w:cs="Tahoma"/>
          <w:color w:val="333333"/>
          <w:kern w:val="0"/>
          <w:sz w:val="20"/>
          <w:szCs w:val="20"/>
          <w:lang w:val="es-AR" w:eastAsia="es-AR"/>
          <w14:ligatures w14:val="none"/>
        </w:rPr>
        <w:t>Auditorias</w:t>
      </w:r>
      <w:proofErr w:type="spellEnd"/>
      <w:r w:rsidRPr="00090CB0">
        <w:rPr>
          <w:rFonts w:ascii="Tahoma" w:eastAsia="Times New Roman" w:hAnsi="Tahoma" w:cs="Tahoma"/>
          <w:color w:val="333333"/>
          <w:kern w:val="0"/>
          <w:sz w:val="20"/>
          <w:szCs w:val="20"/>
          <w:lang w:val="es-AR" w:eastAsia="es-AR"/>
          <w14:ligatures w14:val="none"/>
        </w:rPr>
        <w:t xml:space="preserve"> ambientales. Evaluación del desempeño ambiental. Análisis del ciclo de vida. Huella de carbono. Etiquetado ambiental. Aspectos ambientales en normas de producto. Integración de aspectos ambientales en el desarrollo de productos. Comunicaciones ambientales. Términos y definiciones.</w:t>
      </w:r>
    </w:p>
    <w:p w14:paraId="29FF5F84"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4500052C"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i/>
          <w:iCs/>
          <w:color w:val="333333"/>
          <w:kern w:val="0"/>
          <w:sz w:val="20"/>
          <w:szCs w:val="20"/>
          <w:lang w:val="es-AR" w:eastAsia="es-AR"/>
          <w14:ligatures w14:val="none"/>
        </w:rPr>
        <w:t>Unidad 7: Identificación de factores e impactos ambientales</w:t>
      </w:r>
    </w:p>
    <w:p w14:paraId="2CD347FF"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Identificación y evaluación de aspectos e impactos ambientales. Vinculación con la norma 14001. Requisitos de la norma en relación a la existencia de aspectos ambientales.  Factores e impactos ambientales. Desempeño ambiental. Gestión de factores ambientales. Categorías de factores ambientales. Diagrama de flujo de proceso. Identificación de los impactos asociados a los factores ambientales. Norma ISO 14062.  Gestión global dentro de la organización. Determinación de la significancia de los factores ambientales. Valoración de impactos. Criterios de importancia para su evaluación.</w:t>
      </w:r>
    </w:p>
    <w:p w14:paraId="407DC167"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33715600"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i/>
          <w:iCs/>
          <w:color w:val="333333"/>
          <w:kern w:val="0"/>
          <w:sz w:val="20"/>
          <w:szCs w:val="20"/>
          <w:lang w:val="es-AR" w:eastAsia="es-AR"/>
          <w14:ligatures w14:val="none"/>
        </w:rPr>
        <w:t>Unidad 8: Implementación de SGA según Norma IRAM-ISO 14001</w:t>
      </w:r>
    </w:p>
    <w:p w14:paraId="1DFCFFB7"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xml:space="preserve">Planificación para la implementación de un SGA según IRAM-ISO 14001. Definiciones. Beneficios. Principios de la gestión ambiental. Obstáculos. Alcance. 1 etapa: revisión: Contenido típico. Datos del sitio. Revisión de los productos, procesos y actividades. factores e impactos ambientales. Revisión de la legislación relevante. 2 etapa: Política ambiental. 3 etapa: Planificación. Registro de factores e impactos. Requisitos legales y otros requisitos. Objetivos, metas y programas.  Programas de gestión ambiental. Etapa 4: Implementación y operación. Competencia, formación y toma de conciencia. Comunicación. Documentación del SGA. Manual </w:t>
      </w:r>
      <w:r w:rsidRPr="00090CB0">
        <w:rPr>
          <w:rFonts w:ascii="Tahoma" w:eastAsia="Times New Roman" w:hAnsi="Tahoma" w:cs="Tahoma"/>
          <w:color w:val="333333"/>
          <w:kern w:val="0"/>
          <w:sz w:val="20"/>
          <w:szCs w:val="20"/>
          <w:lang w:val="es-AR" w:eastAsia="es-AR"/>
          <w14:ligatures w14:val="none"/>
        </w:rPr>
        <w:lastRenderedPageBreak/>
        <w:t>de gestión ambiental. Control operacional. Preparación y respuesta ante emergencias. Verificación y acción correctiva. Seguimiento y medición. Evaluación del cumplimiento legal. Auditoría del SGA. Revisión por la dirección. Mejora continua.</w:t>
      </w:r>
    </w:p>
    <w:p w14:paraId="0DEACE6C"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03FDCEE5"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t>Modalidad de dictado</w:t>
      </w:r>
    </w:p>
    <w:p w14:paraId="3AF6C982"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Clases teóricas y seminarios prácticos. En la parte práctica los alumnos deberán preparar un sistema de gestión ambiental siguiendo los lineamientos de la Norma ISO 14001 para industrias o actividades.</w:t>
      </w:r>
    </w:p>
    <w:p w14:paraId="289D6169"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38AEC32D"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t>Evaluación</w:t>
      </w:r>
    </w:p>
    <w:p w14:paraId="23825A82"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Presentación y aprobación de trabajo práctico. El trabajo práctico se presenta tipo monografía y se expone en forma oral. Además, se toma una evaluación integradora final de los contenidos teóricos.</w:t>
      </w:r>
    </w:p>
    <w:p w14:paraId="5AD6F9CD"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t> </w:t>
      </w:r>
    </w:p>
    <w:p w14:paraId="043A1FBE"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t>Requisitos de aprobación</w:t>
      </w:r>
    </w:p>
    <w:p w14:paraId="44E06F93"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La aprobación del curso se concretará alcanzando 7 puntos de un total de 10.</w:t>
      </w:r>
    </w:p>
    <w:p w14:paraId="7125330A"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w:t>
      </w:r>
    </w:p>
    <w:p w14:paraId="3B240244"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b/>
          <w:bCs/>
          <w:color w:val="333333"/>
          <w:kern w:val="0"/>
          <w:sz w:val="20"/>
          <w:szCs w:val="20"/>
          <w:lang w:val="es-AR" w:eastAsia="es-AR"/>
          <w14:ligatures w14:val="none"/>
        </w:rPr>
        <w:t>Bibliografía</w:t>
      </w:r>
    </w:p>
    <w:p w14:paraId="6F77B973" w14:textId="77777777" w:rsidR="00090CB0" w:rsidRPr="00090CB0" w:rsidRDefault="00090CB0" w:rsidP="00090CB0">
      <w:pPr>
        <w:numPr>
          <w:ilvl w:val="0"/>
          <w:numId w:val="3"/>
        </w:num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xml:space="preserve">Mariano </w:t>
      </w:r>
      <w:proofErr w:type="spellStart"/>
      <w:r w:rsidRPr="00090CB0">
        <w:rPr>
          <w:rFonts w:ascii="Tahoma" w:eastAsia="Times New Roman" w:hAnsi="Tahoma" w:cs="Tahoma"/>
          <w:color w:val="333333"/>
          <w:kern w:val="0"/>
          <w:sz w:val="20"/>
          <w:szCs w:val="20"/>
          <w:lang w:val="es-AR" w:eastAsia="es-AR"/>
          <w14:ligatures w14:val="none"/>
        </w:rPr>
        <w:t>Seoanez</w:t>
      </w:r>
      <w:proofErr w:type="spellEnd"/>
      <w:r w:rsidRPr="00090CB0">
        <w:rPr>
          <w:rFonts w:ascii="Tahoma" w:eastAsia="Times New Roman" w:hAnsi="Tahoma" w:cs="Tahoma"/>
          <w:color w:val="333333"/>
          <w:kern w:val="0"/>
          <w:sz w:val="20"/>
          <w:szCs w:val="20"/>
          <w:lang w:val="es-AR" w:eastAsia="es-AR"/>
          <w14:ligatures w14:val="none"/>
        </w:rPr>
        <w:t xml:space="preserve"> Calvo. Auditorías ambientales y gestión medioambiental de la empresa. (Ecoauditoría y ecogestión empresarial). Colección Ingeniería </w:t>
      </w:r>
      <w:proofErr w:type="spellStart"/>
      <w:r w:rsidRPr="00090CB0">
        <w:rPr>
          <w:rFonts w:ascii="Tahoma" w:eastAsia="Times New Roman" w:hAnsi="Tahoma" w:cs="Tahoma"/>
          <w:color w:val="333333"/>
          <w:kern w:val="0"/>
          <w:sz w:val="20"/>
          <w:szCs w:val="20"/>
          <w:lang w:val="es-AR" w:eastAsia="es-AR"/>
          <w14:ligatures w14:val="none"/>
        </w:rPr>
        <w:t>mediambiental</w:t>
      </w:r>
      <w:proofErr w:type="spellEnd"/>
      <w:r w:rsidRPr="00090CB0">
        <w:rPr>
          <w:rFonts w:ascii="Tahoma" w:eastAsia="Times New Roman" w:hAnsi="Tahoma" w:cs="Tahoma"/>
          <w:color w:val="333333"/>
          <w:kern w:val="0"/>
          <w:sz w:val="20"/>
          <w:szCs w:val="20"/>
          <w:lang w:val="es-AR" w:eastAsia="es-AR"/>
          <w14:ligatures w14:val="none"/>
        </w:rPr>
        <w:t xml:space="preserve">. Ediciones </w:t>
      </w:r>
      <w:proofErr w:type="spellStart"/>
      <w:r w:rsidRPr="00090CB0">
        <w:rPr>
          <w:rFonts w:ascii="Tahoma" w:eastAsia="Times New Roman" w:hAnsi="Tahoma" w:cs="Tahoma"/>
          <w:color w:val="333333"/>
          <w:kern w:val="0"/>
          <w:sz w:val="20"/>
          <w:szCs w:val="20"/>
          <w:lang w:val="es-AR" w:eastAsia="es-AR"/>
          <w14:ligatures w14:val="none"/>
        </w:rPr>
        <w:t>Mundi</w:t>
      </w:r>
      <w:proofErr w:type="spellEnd"/>
      <w:r w:rsidRPr="00090CB0">
        <w:rPr>
          <w:rFonts w:ascii="Tahoma" w:eastAsia="Times New Roman" w:hAnsi="Tahoma" w:cs="Tahoma"/>
          <w:color w:val="333333"/>
          <w:kern w:val="0"/>
          <w:sz w:val="20"/>
          <w:szCs w:val="20"/>
          <w:lang w:val="es-AR" w:eastAsia="es-AR"/>
          <w14:ligatures w14:val="none"/>
        </w:rPr>
        <w:t>-prensa. Madrid. 1995.</w:t>
      </w:r>
    </w:p>
    <w:p w14:paraId="5F126D4E" w14:textId="77777777" w:rsidR="00090CB0" w:rsidRPr="00090CB0" w:rsidRDefault="00090CB0" w:rsidP="00090CB0">
      <w:pPr>
        <w:numPr>
          <w:ilvl w:val="0"/>
          <w:numId w:val="3"/>
        </w:num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n-US" w:eastAsia="es-AR"/>
          <w14:ligatures w14:val="none"/>
        </w:rPr>
        <w:t xml:space="preserve">Hewitt Roberts, Gary Robinson. ISO 14001. </w:t>
      </w:r>
      <w:r w:rsidRPr="00090CB0">
        <w:rPr>
          <w:rFonts w:ascii="Tahoma" w:eastAsia="Times New Roman" w:hAnsi="Tahoma" w:cs="Tahoma"/>
          <w:color w:val="333333"/>
          <w:kern w:val="0"/>
          <w:sz w:val="20"/>
          <w:szCs w:val="20"/>
          <w:lang w:val="es-AR" w:eastAsia="es-AR"/>
          <w14:ligatures w14:val="none"/>
        </w:rPr>
        <w:t>EMS Manual de sistema de gestión Medioambiental. Thomson Paraninfo. 1999.</w:t>
      </w:r>
    </w:p>
    <w:p w14:paraId="60F84557" w14:textId="77777777" w:rsidR="00090CB0" w:rsidRPr="00090CB0" w:rsidRDefault="00090CB0" w:rsidP="00090CB0">
      <w:pPr>
        <w:numPr>
          <w:ilvl w:val="0"/>
          <w:numId w:val="3"/>
        </w:num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Richard B. Clements. Guía completa de las normas ISO 14000. Prentice Hall. España. 1997.</w:t>
      </w:r>
    </w:p>
    <w:p w14:paraId="2F890C0C" w14:textId="77777777" w:rsidR="00090CB0" w:rsidRPr="00090CB0" w:rsidRDefault="00090CB0" w:rsidP="00090CB0">
      <w:pPr>
        <w:numPr>
          <w:ilvl w:val="0"/>
          <w:numId w:val="3"/>
        </w:num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proofErr w:type="spellStart"/>
      <w:r w:rsidRPr="00090CB0">
        <w:rPr>
          <w:rFonts w:ascii="Tahoma" w:eastAsia="Times New Roman" w:hAnsi="Tahoma" w:cs="Tahoma"/>
          <w:color w:val="333333"/>
          <w:kern w:val="0"/>
          <w:sz w:val="20"/>
          <w:szCs w:val="20"/>
          <w:lang w:val="es-AR" w:eastAsia="es-AR"/>
          <w14:ligatures w14:val="none"/>
        </w:rPr>
        <w:t>ConesFernandez</w:t>
      </w:r>
      <w:proofErr w:type="spellEnd"/>
      <w:r w:rsidRPr="00090CB0">
        <w:rPr>
          <w:rFonts w:ascii="Tahoma" w:eastAsia="Times New Roman" w:hAnsi="Tahoma" w:cs="Tahoma"/>
          <w:color w:val="333333"/>
          <w:kern w:val="0"/>
          <w:sz w:val="20"/>
          <w:szCs w:val="20"/>
          <w:lang w:val="es-AR" w:eastAsia="es-AR"/>
          <w14:ligatures w14:val="none"/>
        </w:rPr>
        <w:t xml:space="preserve">- </w:t>
      </w:r>
      <w:proofErr w:type="spellStart"/>
      <w:r w:rsidRPr="00090CB0">
        <w:rPr>
          <w:rFonts w:ascii="Tahoma" w:eastAsia="Times New Roman" w:hAnsi="Tahoma" w:cs="Tahoma"/>
          <w:color w:val="333333"/>
          <w:kern w:val="0"/>
          <w:sz w:val="20"/>
          <w:szCs w:val="20"/>
          <w:lang w:val="es-AR" w:eastAsia="es-AR"/>
          <w14:ligatures w14:val="none"/>
        </w:rPr>
        <w:t>Vítora</w:t>
      </w:r>
      <w:proofErr w:type="spellEnd"/>
      <w:r w:rsidRPr="00090CB0">
        <w:rPr>
          <w:rFonts w:ascii="Tahoma" w:eastAsia="Times New Roman" w:hAnsi="Tahoma" w:cs="Tahoma"/>
          <w:color w:val="333333"/>
          <w:kern w:val="0"/>
          <w:sz w:val="20"/>
          <w:szCs w:val="20"/>
          <w:lang w:val="es-AR" w:eastAsia="es-AR"/>
          <w14:ligatures w14:val="none"/>
        </w:rPr>
        <w:t xml:space="preserve">. Guía metodológica para la evaluación del impacto ambiental. 3º Edición. Ediciones </w:t>
      </w:r>
      <w:proofErr w:type="spellStart"/>
      <w:r w:rsidRPr="00090CB0">
        <w:rPr>
          <w:rFonts w:ascii="Tahoma" w:eastAsia="Times New Roman" w:hAnsi="Tahoma" w:cs="Tahoma"/>
          <w:color w:val="333333"/>
          <w:kern w:val="0"/>
          <w:sz w:val="20"/>
          <w:szCs w:val="20"/>
          <w:lang w:val="es-AR" w:eastAsia="es-AR"/>
          <w14:ligatures w14:val="none"/>
        </w:rPr>
        <w:t>Mundi</w:t>
      </w:r>
      <w:proofErr w:type="spellEnd"/>
      <w:r w:rsidRPr="00090CB0">
        <w:rPr>
          <w:rFonts w:ascii="Tahoma" w:eastAsia="Times New Roman" w:hAnsi="Tahoma" w:cs="Tahoma"/>
          <w:color w:val="333333"/>
          <w:kern w:val="0"/>
          <w:sz w:val="20"/>
          <w:szCs w:val="20"/>
          <w:lang w:val="es-AR" w:eastAsia="es-AR"/>
          <w14:ligatures w14:val="none"/>
        </w:rPr>
        <w:t>-Prensa. Madrid. 1997.</w:t>
      </w:r>
    </w:p>
    <w:p w14:paraId="37A00259" w14:textId="77777777" w:rsidR="00090CB0" w:rsidRPr="00090CB0" w:rsidRDefault="00090CB0" w:rsidP="00090CB0">
      <w:pPr>
        <w:numPr>
          <w:ilvl w:val="0"/>
          <w:numId w:val="3"/>
        </w:num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xml:space="preserve">Young, Natalia; </w:t>
      </w:r>
      <w:proofErr w:type="spellStart"/>
      <w:r w:rsidRPr="00090CB0">
        <w:rPr>
          <w:rFonts w:ascii="Tahoma" w:eastAsia="Times New Roman" w:hAnsi="Tahoma" w:cs="Tahoma"/>
          <w:color w:val="333333"/>
          <w:kern w:val="0"/>
          <w:sz w:val="20"/>
          <w:szCs w:val="20"/>
          <w:lang w:val="es-AR" w:eastAsia="es-AR"/>
          <w14:ligatures w14:val="none"/>
        </w:rPr>
        <w:t>Ramirez</w:t>
      </w:r>
      <w:proofErr w:type="spellEnd"/>
      <w:r w:rsidRPr="00090CB0">
        <w:rPr>
          <w:rFonts w:ascii="Tahoma" w:eastAsia="Times New Roman" w:hAnsi="Tahoma" w:cs="Tahoma"/>
          <w:color w:val="333333"/>
          <w:kern w:val="0"/>
          <w:sz w:val="20"/>
          <w:szCs w:val="20"/>
          <w:lang w:val="es-AR" w:eastAsia="es-AR"/>
          <w14:ligatures w14:val="none"/>
        </w:rPr>
        <w:t xml:space="preserve">, Luciano: </w:t>
      </w:r>
      <w:proofErr w:type="spellStart"/>
      <w:r w:rsidRPr="00090CB0">
        <w:rPr>
          <w:rFonts w:ascii="Tahoma" w:eastAsia="Times New Roman" w:hAnsi="Tahoma" w:cs="Tahoma"/>
          <w:color w:val="333333"/>
          <w:kern w:val="0"/>
          <w:sz w:val="20"/>
          <w:szCs w:val="20"/>
          <w:lang w:val="es-AR" w:eastAsia="es-AR"/>
          <w14:ligatures w14:val="none"/>
        </w:rPr>
        <w:t>Rodriguez</w:t>
      </w:r>
      <w:proofErr w:type="spellEnd"/>
      <w:r w:rsidRPr="00090CB0">
        <w:rPr>
          <w:rFonts w:ascii="Tahoma" w:eastAsia="Times New Roman" w:hAnsi="Tahoma" w:cs="Tahoma"/>
          <w:color w:val="333333"/>
          <w:kern w:val="0"/>
          <w:sz w:val="20"/>
          <w:szCs w:val="20"/>
          <w:lang w:val="es-AR" w:eastAsia="es-AR"/>
          <w14:ligatures w14:val="none"/>
        </w:rPr>
        <w:t>, Xavier. Guía de Producción limpia en el sector construcción. 2008.</w:t>
      </w:r>
    </w:p>
    <w:p w14:paraId="1086EFF2" w14:textId="77777777" w:rsidR="00090CB0" w:rsidRPr="00090CB0" w:rsidRDefault="00090CB0" w:rsidP="00090CB0">
      <w:pPr>
        <w:numPr>
          <w:ilvl w:val="0"/>
          <w:numId w:val="3"/>
        </w:num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Guía MTD (mejores técnicas disponibles) para la eficacia del recurso hídrico. Sin autor. 2015.</w:t>
      </w:r>
    </w:p>
    <w:p w14:paraId="23AFC1B3" w14:textId="77777777" w:rsidR="00090CB0" w:rsidRPr="00090CB0" w:rsidRDefault="00090CB0" w:rsidP="00090CB0">
      <w:pPr>
        <w:numPr>
          <w:ilvl w:val="0"/>
          <w:numId w:val="3"/>
        </w:num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Guía del usuario. El ahorro de agua doméstica. Disponible en http://www1.diba.cat/llibreria/pdf/49525.pdf</w:t>
      </w:r>
    </w:p>
    <w:p w14:paraId="28A6BF01" w14:textId="77777777" w:rsidR="00090CB0" w:rsidRPr="00090CB0" w:rsidRDefault="00090CB0" w:rsidP="00090CB0">
      <w:pPr>
        <w:numPr>
          <w:ilvl w:val="0"/>
          <w:numId w:val="3"/>
        </w:num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Manual para el uso eficiente y racional del agua. 2003. IMTA, Coordinación de Tecnología Hidráulica Disponible enhttp://www.watergymex.org/contenidos/rtecnicos/Reduccion%20de%20la%20Demanda/Manual%20Uso%20eficiente%20y%20racional%20del%20agua.pdf</w:t>
      </w:r>
    </w:p>
    <w:p w14:paraId="1FFA4E13" w14:textId="77777777" w:rsidR="00090CB0" w:rsidRPr="00090CB0" w:rsidRDefault="00090CB0" w:rsidP="00090CB0">
      <w:pPr>
        <w:numPr>
          <w:ilvl w:val="0"/>
          <w:numId w:val="3"/>
        </w:num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 xml:space="preserve">Catálogo de tecnologías ahorradoras. Documento técnico de tecnologías ahorradoras </w:t>
      </w:r>
      <w:proofErr w:type="spellStart"/>
      <w:r w:rsidRPr="00090CB0">
        <w:rPr>
          <w:rFonts w:ascii="Tahoma" w:eastAsia="Times New Roman" w:hAnsi="Tahoma" w:cs="Tahoma"/>
          <w:color w:val="333333"/>
          <w:kern w:val="0"/>
          <w:sz w:val="20"/>
          <w:szCs w:val="20"/>
          <w:lang w:val="es-AR" w:eastAsia="es-AR"/>
          <w14:ligatures w14:val="none"/>
        </w:rPr>
        <w:t>deagua</w:t>
      </w:r>
      <w:proofErr w:type="spellEnd"/>
      <w:r w:rsidRPr="00090CB0">
        <w:rPr>
          <w:rFonts w:ascii="Tahoma" w:eastAsia="Times New Roman" w:hAnsi="Tahoma" w:cs="Tahoma"/>
          <w:color w:val="333333"/>
          <w:kern w:val="0"/>
          <w:sz w:val="20"/>
          <w:szCs w:val="20"/>
          <w:lang w:val="es-AR" w:eastAsia="es-AR"/>
          <w14:ligatures w14:val="none"/>
        </w:rPr>
        <w:t xml:space="preserve"> para viviendas y edificios de uso público. Disponible en</w:t>
      </w:r>
    </w:p>
    <w:p w14:paraId="6091F808" w14:textId="77777777" w:rsidR="00090CB0" w:rsidRPr="00090CB0" w:rsidRDefault="00090CB0" w:rsidP="00090CB0">
      <w:pPr>
        <w:shd w:val="clear" w:color="auto" w:fill="FFFFFF"/>
        <w:spacing w:before="100" w:beforeAutospacing="1" w:after="100" w:afterAutospacing="1" w:line="240" w:lineRule="auto"/>
        <w:rPr>
          <w:rFonts w:ascii="Courier New" w:eastAsia="Times New Roman" w:hAnsi="Courier New" w:cs="Courier New"/>
          <w:color w:val="333333"/>
          <w:kern w:val="0"/>
          <w:sz w:val="20"/>
          <w:szCs w:val="20"/>
          <w:lang w:val="es-AR" w:eastAsia="es-AR"/>
          <w14:ligatures w14:val="none"/>
        </w:rPr>
      </w:pPr>
      <w:r w:rsidRPr="00090CB0">
        <w:rPr>
          <w:rFonts w:ascii="Tahoma" w:eastAsia="Times New Roman" w:hAnsi="Tahoma" w:cs="Tahoma"/>
          <w:color w:val="333333"/>
          <w:kern w:val="0"/>
          <w:sz w:val="20"/>
          <w:szCs w:val="20"/>
          <w:lang w:val="es-AR" w:eastAsia="es-AR"/>
          <w14:ligatures w14:val="none"/>
        </w:rPr>
        <w:t>http://www.ecodes.org/component/option,com_phocadownload/Itemid,2/download,21/id,19/view,category/.</w:t>
      </w:r>
    </w:p>
    <w:p w14:paraId="65DF7B99" w14:textId="5AE52F89" w:rsidR="001779D8" w:rsidRDefault="00090CB0" w:rsidP="00090CB0">
      <w:r w:rsidRPr="00090CB0">
        <w:rPr>
          <w:rFonts w:ascii="Courier New" w:eastAsia="Times New Roman" w:hAnsi="Courier New" w:cs="Courier New"/>
          <w:color w:val="333333"/>
          <w:kern w:val="0"/>
          <w:sz w:val="20"/>
          <w:szCs w:val="20"/>
          <w:lang w:val="es-AR" w:eastAsia="es-AR"/>
          <w14:ligatures w14:val="none"/>
        </w:rPr>
        <w:lastRenderedPageBreak/>
        <w:br/>
      </w:r>
      <w:r w:rsidRPr="00090CB0">
        <w:rPr>
          <w:rFonts w:ascii="Courier New" w:eastAsia="Times New Roman" w:hAnsi="Courier New" w:cs="Courier New"/>
          <w:color w:val="333333"/>
          <w:kern w:val="0"/>
          <w:sz w:val="20"/>
          <w:szCs w:val="20"/>
          <w:lang w:val="es-AR" w:eastAsia="es-AR"/>
          <w14:ligatures w14:val="none"/>
        </w:rPr>
        <w:br/>
      </w:r>
      <w:r w:rsidRPr="00090CB0">
        <w:rPr>
          <w:rFonts w:ascii="Courier New" w:eastAsia="Times New Roman" w:hAnsi="Courier New" w:cs="Courier New"/>
          <w:color w:val="333333"/>
          <w:kern w:val="0"/>
          <w:sz w:val="20"/>
          <w:szCs w:val="20"/>
          <w:shd w:val="clear" w:color="auto" w:fill="FFFFFF"/>
          <w:lang w:val="es-AR" w:eastAsia="es-AR"/>
          <w14:ligatures w14:val="none"/>
        </w:rPr>
        <w:t>-- </w:t>
      </w:r>
      <w:r w:rsidRPr="00090CB0">
        <w:rPr>
          <w:rFonts w:ascii="Courier New" w:eastAsia="Times New Roman" w:hAnsi="Courier New" w:cs="Courier New"/>
          <w:color w:val="333333"/>
          <w:kern w:val="0"/>
          <w:sz w:val="20"/>
          <w:szCs w:val="20"/>
          <w:shd w:val="clear" w:color="auto" w:fill="FFFFFF"/>
          <w:lang w:val="es-AR" w:eastAsia="es-AR"/>
          <w14:ligatures w14:val="none"/>
        </w:rPr>
        <w:br/>
        <w:t xml:space="preserve">Anabel A. </w:t>
      </w:r>
      <w:proofErr w:type="spellStart"/>
      <w:r w:rsidRPr="00090CB0">
        <w:rPr>
          <w:rFonts w:ascii="Courier New" w:eastAsia="Times New Roman" w:hAnsi="Courier New" w:cs="Courier New"/>
          <w:color w:val="333333"/>
          <w:kern w:val="0"/>
          <w:sz w:val="20"/>
          <w:szCs w:val="20"/>
          <w:shd w:val="clear" w:color="auto" w:fill="FFFFFF"/>
          <w:lang w:val="es-AR" w:eastAsia="es-AR"/>
          <w14:ligatures w14:val="none"/>
        </w:rPr>
        <w:t>Fernandez</w:t>
      </w:r>
      <w:proofErr w:type="spellEnd"/>
      <w:r w:rsidRPr="00090CB0">
        <w:rPr>
          <w:rFonts w:ascii="Courier New" w:eastAsia="Times New Roman" w:hAnsi="Courier New" w:cs="Courier New"/>
          <w:color w:val="333333"/>
          <w:kern w:val="0"/>
          <w:sz w:val="20"/>
          <w:szCs w:val="20"/>
          <w:shd w:val="clear" w:color="auto" w:fill="FFFFFF"/>
          <w:lang w:val="es-AR" w:eastAsia="es-AR"/>
          <w14:ligatures w14:val="none"/>
        </w:rPr>
        <w:t xml:space="preserve"> B.</w:t>
      </w:r>
      <w:r w:rsidRPr="00090CB0">
        <w:rPr>
          <w:rFonts w:ascii="Courier New" w:eastAsia="Times New Roman" w:hAnsi="Courier New" w:cs="Courier New"/>
          <w:color w:val="333333"/>
          <w:kern w:val="0"/>
          <w:sz w:val="20"/>
          <w:szCs w:val="20"/>
          <w:shd w:val="clear" w:color="auto" w:fill="FFFFFF"/>
          <w:lang w:val="es-AR" w:eastAsia="es-AR"/>
          <w14:ligatures w14:val="none"/>
        </w:rPr>
        <w:br/>
        <w:t>Dra. en Ingeniería Química</w:t>
      </w:r>
      <w:r w:rsidRPr="00090CB0">
        <w:rPr>
          <w:rFonts w:ascii="Courier New" w:eastAsia="Times New Roman" w:hAnsi="Courier New" w:cs="Courier New"/>
          <w:color w:val="333333"/>
          <w:kern w:val="0"/>
          <w:sz w:val="20"/>
          <w:szCs w:val="20"/>
          <w:shd w:val="clear" w:color="auto" w:fill="FFFFFF"/>
          <w:lang w:val="es-AR" w:eastAsia="es-AR"/>
          <w14:ligatures w14:val="none"/>
        </w:rPr>
        <w:br/>
        <w:t>Universidad Nacional de San Juan</w:t>
      </w:r>
      <w:r w:rsidRPr="00090CB0">
        <w:rPr>
          <w:rFonts w:ascii="Courier New" w:eastAsia="Times New Roman" w:hAnsi="Courier New" w:cs="Courier New"/>
          <w:color w:val="333333"/>
          <w:kern w:val="0"/>
          <w:sz w:val="20"/>
          <w:szCs w:val="20"/>
          <w:shd w:val="clear" w:color="auto" w:fill="FFFFFF"/>
          <w:lang w:val="es-AR" w:eastAsia="es-AR"/>
          <w14:ligatures w14:val="none"/>
        </w:rPr>
        <w:br/>
        <w:t>Facultad de Ingeniería</w:t>
      </w:r>
      <w:r w:rsidRPr="00090CB0">
        <w:rPr>
          <w:rFonts w:ascii="Courier New" w:eastAsia="Times New Roman" w:hAnsi="Courier New" w:cs="Courier New"/>
          <w:color w:val="333333"/>
          <w:kern w:val="0"/>
          <w:sz w:val="20"/>
          <w:szCs w:val="20"/>
          <w:shd w:val="clear" w:color="auto" w:fill="FFFFFF"/>
          <w:lang w:val="es-AR" w:eastAsia="es-AR"/>
          <w14:ligatures w14:val="none"/>
        </w:rPr>
        <w:br/>
        <w:t>Instituto de Ingeniería Química</w:t>
      </w:r>
      <w:r w:rsidRPr="00090CB0">
        <w:rPr>
          <w:rFonts w:ascii="Courier New" w:eastAsia="Times New Roman" w:hAnsi="Courier New" w:cs="Courier New"/>
          <w:color w:val="333333"/>
          <w:kern w:val="0"/>
          <w:sz w:val="20"/>
          <w:szCs w:val="20"/>
          <w:shd w:val="clear" w:color="auto" w:fill="FFFFFF"/>
          <w:lang w:val="es-AR" w:eastAsia="es-AR"/>
          <w14:ligatures w14:val="none"/>
        </w:rPr>
        <w:br/>
        <w:t>G.V. AL PROBIEN (CONICET-</w:t>
      </w:r>
      <w:proofErr w:type="spellStart"/>
      <w:r w:rsidRPr="00090CB0">
        <w:rPr>
          <w:rFonts w:ascii="Courier New" w:eastAsia="Times New Roman" w:hAnsi="Courier New" w:cs="Courier New"/>
          <w:color w:val="333333"/>
          <w:kern w:val="0"/>
          <w:sz w:val="20"/>
          <w:szCs w:val="20"/>
          <w:shd w:val="clear" w:color="auto" w:fill="FFFFFF"/>
          <w:lang w:val="es-AR" w:eastAsia="es-AR"/>
          <w14:ligatures w14:val="none"/>
        </w:rPr>
        <w:t>UNCo</w:t>
      </w:r>
      <w:proofErr w:type="spellEnd"/>
      <w:r w:rsidRPr="00090CB0">
        <w:rPr>
          <w:rFonts w:ascii="Courier New" w:eastAsia="Times New Roman" w:hAnsi="Courier New" w:cs="Courier New"/>
          <w:color w:val="333333"/>
          <w:kern w:val="0"/>
          <w:sz w:val="20"/>
          <w:szCs w:val="20"/>
          <w:shd w:val="clear" w:color="auto" w:fill="FFFFFF"/>
          <w:lang w:val="es-AR" w:eastAsia="es-AR"/>
          <w14:ligatures w14:val="none"/>
        </w:rPr>
        <w:t>)</w:t>
      </w:r>
      <w:r w:rsidRPr="00090CB0">
        <w:rPr>
          <w:rFonts w:ascii="Courier New" w:eastAsia="Times New Roman" w:hAnsi="Courier New" w:cs="Courier New"/>
          <w:color w:val="333333"/>
          <w:kern w:val="0"/>
          <w:sz w:val="20"/>
          <w:szCs w:val="20"/>
          <w:shd w:val="clear" w:color="auto" w:fill="FFFFFF"/>
          <w:lang w:val="es-AR" w:eastAsia="es-AR"/>
          <w14:ligatures w14:val="none"/>
        </w:rPr>
        <w:br/>
        <w:t xml:space="preserve">Tel: 4211700 - </w:t>
      </w:r>
      <w:proofErr w:type="spellStart"/>
      <w:r w:rsidRPr="00090CB0">
        <w:rPr>
          <w:rFonts w:ascii="Courier New" w:eastAsia="Times New Roman" w:hAnsi="Courier New" w:cs="Courier New"/>
          <w:color w:val="333333"/>
          <w:kern w:val="0"/>
          <w:sz w:val="20"/>
          <w:szCs w:val="20"/>
          <w:shd w:val="clear" w:color="auto" w:fill="FFFFFF"/>
          <w:lang w:val="es-AR" w:eastAsia="es-AR"/>
          <w14:ligatures w14:val="none"/>
        </w:rPr>
        <w:t>Int</w:t>
      </w:r>
      <w:proofErr w:type="spellEnd"/>
      <w:r w:rsidRPr="00090CB0">
        <w:rPr>
          <w:rFonts w:ascii="Courier New" w:eastAsia="Times New Roman" w:hAnsi="Courier New" w:cs="Courier New"/>
          <w:color w:val="333333"/>
          <w:kern w:val="0"/>
          <w:sz w:val="20"/>
          <w:szCs w:val="20"/>
          <w:shd w:val="clear" w:color="auto" w:fill="FFFFFF"/>
          <w:lang w:val="es-AR" w:eastAsia="es-AR"/>
          <w14:ligatures w14:val="none"/>
        </w:rPr>
        <w:t xml:space="preserve"> 453</w:t>
      </w:r>
    </w:p>
    <w:sectPr w:rsidR="001779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4389"/>
    <w:multiLevelType w:val="multilevel"/>
    <w:tmpl w:val="452C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E4946"/>
    <w:multiLevelType w:val="multilevel"/>
    <w:tmpl w:val="69F6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D3D8A"/>
    <w:multiLevelType w:val="multilevel"/>
    <w:tmpl w:val="27D6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404448">
    <w:abstractNumId w:val="2"/>
  </w:num>
  <w:num w:numId="2" w16cid:durableId="1768647317">
    <w:abstractNumId w:val="0"/>
  </w:num>
  <w:num w:numId="3" w16cid:durableId="1527134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B0"/>
    <w:rsid w:val="00090CB0"/>
    <w:rsid w:val="001779D8"/>
    <w:rsid w:val="00312682"/>
    <w:rsid w:val="0051391D"/>
    <w:rsid w:val="00744ED2"/>
    <w:rsid w:val="00A543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2D89"/>
  <w15:chartTrackingRefBased/>
  <w15:docId w15:val="{C8A32E67-F372-4E23-88C9-11984019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090C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90C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90C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90C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90C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90C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90C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90C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90C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0CB0"/>
    <w:rPr>
      <w:rFonts w:asciiTheme="majorHAnsi" w:eastAsiaTheme="majorEastAsia" w:hAnsiTheme="majorHAnsi" w:cstheme="majorBidi"/>
      <w:color w:val="2F5496" w:themeColor="accent1" w:themeShade="BF"/>
      <w:sz w:val="40"/>
      <w:szCs w:val="40"/>
      <w:lang w:val="es-ES"/>
    </w:rPr>
  </w:style>
  <w:style w:type="character" w:customStyle="1" w:styleId="Ttulo2Car">
    <w:name w:val="Título 2 Car"/>
    <w:basedOn w:val="Fuentedeprrafopredeter"/>
    <w:link w:val="Ttulo2"/>
    <w:uiPriority w:val="9"/>
    <w:semiHidden/>
    <w:rsid w:val="00090CB0"/>
    <w:rPr>
      <w:rFonts w:asciiTheme="majorHAnsi" w:eastAsiaTheme="majorEastAsia" w:hAnsiTheme="majorHAnsi" w:cstheme="majorBidi"/>
      <w:color w:val="2F5496" w:themeColor="accent1" w:themeShade="BF"/>
      <w:sz w:val="32"/>
      <w:szCs w:val="32"/>
      <w:lang w:val="es-ES"/>
    </w:rPr>
  </w:style>
  <w:style w:type="character" w:customStyle="1" w:styleId="Ttulo3Car">
    <w:name w:val="Título 3 Car"/>
    <w:basedOn w:val="Fuentedeprrafopredeter"/>
    <w:link w:val="Ttulo3"/>
    <w:uiPriority w:val="9"/>
    <w:semiHidden/>
    <w:rsid w:val="00090CB0"/>
    <w:rPr>
      <w:rFonts w:eastAsiaTheme="majorEastAsia" w:cstheme="majorBidi"/>
      <w:color w:val="2F5496" w:themeColor="accent1" w:themeShade="BF"/>
      <w:sz w:val="28"/>
      <w:szCs w:val="28"/>
      <w:lang w:val="es-ES"/>
    </w:rPr>
  </w:style>
  <w:style w:type="character" w:customStyle="1" w:styleId="Ttulo4Car">
    <w:name w:val="Título 4 Car"/>
    <w:basedOn w:val="Fuentedeprrafopredeter"/>
    <w:link w:val="Ttulo4"/>
    <w:uiPriority w:val="9"/>
    <w:semiHidden/>
    <w:rsid w:val="00090CB0"/>
    <w:rPr>
      <w:rFonts w:eastAsiaTheme="majorEastAsia" w:cstheme="majorBidi"/>
      <w:i/>
      <w:iCs/>
      <w:color w:val="2F5496" w:themeColor="accent1" w:themeShade="BF"/>
      <w:lang w:val="es-ES"/>
    </w:rPr>
  </w:style>
  <w:style w:type="character" w:customStyle="1" w:styleId="Ttulo5Car">
    <w:name w:val="Título 5 Car"/>
    <w:basedOn w:val="Fuentedeprrafopredeter"/>
    <w:link w:val="Ttulo5"/>
    <w:uiPriority w:val="9"/>
    <w:semiHidden/>
    <w:rsid w:val="00090CB0"/>
    <w:rPr>
      <w:rFonts w:eastAsiaTheme="majorEastAsia" w:cstheme="majorBidi"/>
      <w:color w:val="2F5496" w:themeColor="accent1" w:themeShade="BF"/>
      <w:lang w:val="es-ES"/>
    </w:rPr>
  </w:style>
  <w:style w:type="character" w:customStyle="1" w:styleId="Ttulo6Car">
    <w:name w:val="Título 6 Car"/>
    <w:basedOn w:val="Fuentedeprrafopredeter"/>
    <w:link w:val="Ttulo6"/>
    <w:uiPriority w:val="9"/>
    <w:semiHidden/>
    <w:rsid w:val="00090CB0"/>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090CB0"/>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090CB0"/>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090CB0"/>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090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0CB0"/>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090C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90CB0"/>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090CB0"/>
    <w:pPr>
      <w:spacing w:before="160"/>
      <w:jc w:val="center"/>
    </w:pPr>
    <w:rPr>
      <w:i/>
      <w:iCs/>
      <w:color w:val="404040" w:themeColor="text1" w:themeTint="BF"/>
    </w:rPr>
  </w:style>
  <w:style w:type="character" w:customStyle="1" w:styleId="CitaCar">
    <w:name w:val="Cita Car"/>
    <w:basedOn w:val="Fuentedeprrafopredeter"/>
    <w:link w:val="Cita"/>
    <w:uiPriority w:val="29"/>
    <w:rsid w:val="00090CB0"/>
    <w:rPr>
      <w:i/>
      <w:iCs/>
      <w:color w:val="404040" w:themeColor="text1" w:themeTint="BF"/>
      <w:lang w:val="es-ES"/>
    </w:rPr>
  </w:style>
  <w:style w:type="paragraph" w:styleId="Prrafodelista">
    <w:name w:val="List Paragraph"/>
    <w:basedOn w:val="Normal"/>
    <w:uiPriority w:val="34"/>
    <w:qFormat/>
    <w:rsid w:val="00090CB0"/>
    <w:pPr>
      <w:ind w:left="720"/>
      <w:contextualSpacing/>
    </w:pPr>
  </w:style>
  <w:style w:type="character" w:styleId="nfasisintenso">
    <w:name w:val="Intense Emphasis"/>
    <w:basedOn w:val="Fuentedeprrafopredeter"/>
    <w:uiPriority w:val="21"/>
    <w:qFormat/>
    <w:rsid w:val="00090CB0"/>
    <w:rPr>
      <w:i/>
      <w:iCs/>
      <w:color w:val="2F5496" w:themeColor="accent1" w:themeShade="BF"/>
    </w:rPr>
  </w:style>
  <w:style w:type="paragraph" w:styleId="Citadestacada">
    <w:name w:val="Intense Quote"/>
    <w:basedOn w:val="Normal"/>
    <w:next w:val="Normal"/>
    <w:link w:val="CitadestacadaCar"/>
    <w:uiPriority w:val="30"/>
    <w:qFormat/>
    <w:rsid w:val="00090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90CB0"/>
    <w:rPr>
      <w:i/>
      <w:iCs/>
      <w:color w:val="2F5496" w:themeColor="accent1" w:themeShade="BF"/>
      <w:lang w:val="es-ES"/>
    </w:rPr>
  </w:style>
  <w:style w:type="character" w:styleId="Referenciaintensa">
    <w:name w:val="Intense Reference"/>
    <w:basedOn w:val="Fuentedeprrafopredeter"/>
    <w:uiPriority w:val="32"/>
    <w:qFormat/>
    <w:rsid w:val="00090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9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fDUAB58ZHLc6_sVvvt1ZH0I6a5eoqdJB3b7Zl6Zt3ThLf4AQ/viewform?usp=heade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1493</Words>
  <Characters>8215</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2025-03-19T12:43:00Z</dcterms:created>
  <dcterms:modified xsi:type="dcterms:W3CDTF">2025-03-19T12:47:00Z</dcterms:modified>
</cp:coreProperties>
</file>