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A" w:rsidRDefault="00A36F39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IRPHA</w:t>
      </w:r>
    </w:p>
    <w:p w:rsidR="000D0F9A" w:rsidRDefault="00A36F39">
      <w:r>
        <w:pict w14:anchorId="75FE397E">
          <v:rect id="_x0000_i1025" style="width:0;height:1.5pt" o:hralign="center" o:hrstd="t" o:hr="t" fillcolor="#a0a0a0" stroked="f"/>
        </w:pict>
      </w:r>
    </w:p>
    <w:p w:rsidR="000D0F9A" w:rsidRDefault="000D0F9A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0" w:name="_i9jmafpvo1vq" w:colFirst="0" w:colLast="0"/>
      <w:bookmarkEnd w:id="0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básicos</w:t>
            </w:r>
          </w:p>
        </w:tc>
      </w:tr>
    </w:tbl>
    <w:p w:rsidR="000D0F9A" w:rsidRDefault="00A36F39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1" w:name="_lx9y2zoq9kgk" w:colFirst="0" w:colLast="0"/>
      <w:bookmarkEnd w:id="1"/>
      <w:r>
        <w:rPr>
          <w:b/>
          <w:sz w:val="24"/>
          <w:szCs w:val="24"/>
          <w:shd w:val="clear" w:color="auto" w:fill="CCCCCC"/>
        </w:rPr>
        <w:t xml:space="preserve">       </w:t>
      </w:r>
    </w:p>
    <w:p w:rsidR="000D0F9A" w:rsidRDefault="00A36F39">
      <w:pPr>
        <w:spacing w:after="140"/>
        <w:ind w:left="2976" w:right="800" w:hanging="2834"/>
      </w:pPr>
      <w:r>
        <w:t xml:space="preserve">Unidad Ejecutora: </w:t>
      </w:r>
      <w:r>
        <w:tab/>
        <w:t>Instituto Regional de Planeamiento y Hábitat</w:t>
      </w:r>
    </w:p>
    <w:p w:rsidR="000D0F9A" w:rsidRDefault="00A36F39">
      <w:pPr>
        <w:spacing w:before="240" w:after="140"/>
        <w:ind w:left="140" w:right="800"/>
      </w:pPr>
      <w:r>
        <w:t xml:space="preserve">Responsable Actual: </w:t>
      </w:r>
      <w:r>
        <w:tab/>
        <w:t xml:space="preserve"> </w:t>
      </w:r>
      <w:proofErr w:type="spellStart"/>
      <w:r>
        <w:t>Mgter</w:t>
      </w:r>
      <w:proofErr w:type="spellEnd"/>
      <w:r>
        <w:t>. Arq. Mirta Romero</w:t>
      </w:r>
      <w:r>
        <w:tab/>
        <w:t xml:space="preserve">  </w:t>
      </w:r>
    </w:p>
    <w:p w:rsidR="000D0F9A" w:rsidRDefault="00A36F39">
      <w:pPr>
        <w:ind w:left="2976" w:right="800" w:hanging="2835"/>
      </w:pPr>
      <w:r>
        <w:t xml:space="preserve">Domicilio: </w:t>
      </w:r>
      <w:r>
        <w:tab/>
        <w:t>Av. Ignacio de la Roza 590 (oeste), Complejo Universitario “Islas Malvinas”</w:t>
      </w:r>
    </w:p>
    <w:p w:rsidR="000D0F9A" w:rsidRDefault="00A36F39">
      <w:pPr>
        <w:spacing w:before="240" w:after="140"/>
        <w:ind w:left="140" w:right="800"/>
      </w:pPr>
      <w:r>
        <w:t xml:space="preserve">Código Postal: </w:t>
      </w:r>
      <w:r>
        <w:tab/>
      </w:r>
      <w:r>
        <w:tab/>
        <w:t xml:space="preserve"> J5402DCS</w:t>
      </w:r>
    </w:p>
    <w:p w:rsidR="000D0F9A" w:rsidRDefault="00A36F39">
      <w:pPr>
        <w:spacing w:before="240" w:after="140"/>
        <w:ind w:left="140" w:right="800"/>
      </w:pPr>
      <w:r>
        <w:t xml:space="preserve">Localidad: </w:t>
      </w:r>
      <w:r>
        <w:tab/>
      </w:r>
      <w:r>
        <w:tab/>
      </w:r>
      <w:r>
        <w:tab/>
        <w:t xml:space="preserve"> Rivadavia, San Juan</w:t>
      </w:r>
    </w:p>
    <w:p w:rsidR="000D0F9A" w:rsidRDefault="00A36F39">
      <w:pPr>
        <w:spacing w:before="240" w:after="140"/>
        <w:ind w:left="140" w:right="800"/>
      </w:pPr>
      <w:r>
        <w:t xml:space="preserve">Teléfono: </w:t>
      </w:r>
      <w:r>
        <w:tab/>
      </w:r>
      <w:r>
        <w:tab/>
      </w:r>
      <w:r>
        <w:tab/>
        <w:t xml:space="preserve"> +54 (0264) 423-2395 / +54 (0264) 423-3259</w:t>
      </w:r>
    </w:p>
    <w:p w:rsidR="000D0F9A" w:rsidRDefault="00A36F39">
      <w:pPr>
        <w:spacing w:before="240" w:after="140"/>
        <w:ind w:left="2976" w:right="800" w:hanging="2834"/>
      </w:pPr>
      <w:r>
        <w:t xml:space="preserve">Correo electrónico: </w:t>
      </w:r>
      <w:r>
        <w:tab/>
      </w:r>
      <w:hyperlink r:id="rId5">
        <w:r>
          <w:rPr>
            <w:color w:val="1155CC"/>
            <w:u w:val="single"/>
          </w:rPr>
          <w:t>directorirpha@faud.unsj.edu.ar</w:t>
        </w:r>
      </w:hyperlink>
      <w:r>
        <w:t xml:space="preserve">  </w:t>
      </w:r>
      <w:hyperlink r:id="rId6">
        <w:r>
          <w:rPr>
            <w:color w:val="1155CC"/>
            <w:u w:val="single"/>
          </w:rPr>
          <w:t>postmaster@irpha.faud.unsj.edu.ar</w:t>
        </w:r>
      </w:hyperlink>
      <w:r>
        <w:t xml:space="preserve"> </w:t>
      </w:r>
    </w:p>
    <w:p w:rsidR="000D0F9A" w:rsidRDefault="00A36F39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  <w:r>
        <w:t>Página web:</w:t>
      </w:r>
      <w:r>
        <w:tab/>
      </w:r>
      <w:r>
        <w:tab/>
      </w:r>
      <w:r>
        <w:tab/>
        <w:t xml:space="preserve"> http://www.irpha.unsj.edu.ar/</w:t>
      </w:r>
    </w:p>
    <w:p w:rsidR="000D0F9A" w:rsidRDefault="000D0F9A">
      <w:pPr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 Área del Conocimiento</w:t>
            </w:r>
          </w:p>
        </w:tc>
      </w:tr>
    </w:tbl>
    <w:p w:rsidR="000D0F9A" w:rsidRDefault="00A36F39">
      <w:pPr>
        <w:spacing w:before="240" w:after="140" w:line="240" w:lineRule="auto"/>
        <w:ind w:right="800"/>
      </w:pPr>
      <w:r>
        <w:t>Ciencias Agrarias, Ingeniería y de Materiales - KA</w:t>
      </w:r>
    </w:p>
    <w:p w:rsidR="000D0F9A" w:rsidRDefault="000D0F9A">
      <w:pPr>
        <w:spacing w:line="240" w:lineRule="auto"/>
        <w:ind w:right="800"/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</w:t>
            </w:r>
          </w:p>
        </w:tc>
      </w:tr>
    </w:tbl>
    <w:p w:rsidR="000D0F9A" w:rsidRDefault="00A36F39">
      <w:pPr>
        <w:numPr>
          <w:ilvl w:val="0"/>
          <w:numId w:val="4"/>
        </w:numPr>
        <w:spacing w:before="200"/>
        <w:ind w:right="800"/>
      </w:pPr>
      <w:r>
        <w:t>Hábitat, Ciencias Ambientales y Sustentabilidad</w:t>
      </w:r>
    </w:p>
    <w:p w:rsidR="000D0F9A" w:rsidRDefault="000D0F9A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generales</w:t>
            </w:r>
          </w:p>
        </w:tc>
      </w:tr>
    </w:tbl>
    <w:p w:rsidR="000D0F9A" w:rsidRDefault="00A36F39">
      <w:pPr>
        <w:shd w:val="clear" w:color="auto" w:fill="FFFFFF"/>
        <w:spacing w:before="200"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OBJETIVOS CIENTÍFICOS Y TECNOLÓGICOS</w:t>
      </w:r>
    </w:p>
    <w:p w:rsidR="000D0F9A" w:rsidRDefault="00A36F39">
      <w:pPr>
        <w:shd w:val="clear" w:color="auto" w:fill="FFFFFF"/>
        <w:spacing w:before="200"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Objetivos científicos: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before="200"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Generar conocimientos y metodologías innovadoras vinculadas a la planificación territorial, al cuidado de los recursos naturales, la arquitectura y el diseño, que contribuyan al mejoramiento del hábitat.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Desarrollar conocimientos y tecnologías innovadoras apropiadas y apropiables por los sectores populares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Desarrollar conocimientos y tecnologías innovadoras de diseño bioclimático y sustentable con la incorporación de energías renovables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Desarrollar conocimientos y tecnologías innovadoras vinculadas a la eficiencia energética en el sector edilicio, industrial y de transporte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Desarrollar modelos de gestión energética destinados a los sectores de consumo involucrados en el uso de recursos naturales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Generar conocimientos y metodologías que aporten, desde un enfoque holístico, a la gestión de riesgos socio-ambientales y contribuyan a su mitigación.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Promover acciones directas e indirectas, en articulación con otros actores sociales, que contribuyan a mejorar el hábitat y fortalecer el desarrollo local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Generar aportes teórico-metodológicos que contribuyan a la definición, programación y acompañamiento a la gestión de políticas socio-habitacionales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Generar conocimiento y metodologías que aporten a la conservación del patrimonio para el fortalecimiento de la identidad regional y local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Promover la coproducción social y cultural de conocimientos y metodologías vinculados a la memoria y al patrimonio regional y local, para el fortalecimiento de la identidad y de las autonomías deliberativas de los pueblos y comunidades</w:t>
      </w:r>
    </w:p>
    <w:p w:rsidR="000D0F9A" w:rsidRDefault="00A36F39">
      <w:pPr>
        <w:numPr>
          <w:ilvl w:val="0"/>
          <w:numId w:val="1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Producir conocimientos </w:t>
      </w:r>
      <w:proofErr w:type="spellStart"/>
      <w:r>
        <w:rPr>
          <w:color w:val="333333"/>
          <w:sz w:val="21"/>
          <w:szCs w:val="21"/>
        </w:rPr>
        <w:t>transdisciplinarios</w:t>
      </w:r>
      <w:proofErr w:type="spellEnd"/>
      <w:r>
        <w:rPr>
          <w:color w:val="333333"/>
          <w:sz w:val="21"/>
          <w:szCs w:val="21"/>
        </w:rPr>
        <w:t xml:space="preserve"> que discutan y renueven las matrices epistemológicas con las que se abordan procesos históricos, sociales y naturales complejos</w:t>
      </w:r>
    </w:p>
    <w:p w:rsidR="000D0F9A" w:rsidRDefault="00A36F39">
      <w:pPr>
        <w:shd w:val="clear" w:color="auto" w:fill="FFFFFF"/>
        <w:spacing w:before="200"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Objetivos Tecnológicos: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before="200"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Formular Planes de Ordenamiento Territorial y de desarrollo urbano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Sistemas de información Geográfica (SIG) de apoyo a los diagnósticos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Construcción de escenarios territoriales y urbanos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Propuestas de intervenciones urbanas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Evaluación de impactos ambientales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Estudiar y efectuar la modelización energética en los sectores edilicio, industrial y de transporte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Eficiencia Energética y confort ambiental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Diseño Bioclimático y Sustentable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Auditoría energética y ambiental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Ordenamiento de ahorro energético para el sector edilicio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Estudiar, modelizar y desarrollar tecnologías para la inclusión social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Producción social del hábitat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Estudiar y Modelizar nuevas formas del desarrollo urbano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Expansión y concentración urbana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Uso del suelo y densidad urbana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Sustentatibilidad</w:t>
      </w:r>
      <w:proofErr w:type="spellEnd"/>
      <w:r>
        <w:rPr>
          <w:color w:val="333333"/>
          <w:sz w:val="21"/>
          <w:szCs w:val="21"/>
        </w:rPr>
        <w:t xml:space="preserve"> ambiental urbano-regional y paisajística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Estudiar y modelizar, vulnerabilidades y riesgos socio-territoriales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Gestión del riesgo sísmico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Formar y modalidades de organización en la gestión urbana y territorial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Articulación de actores ciudadanos</w:t>
      </w:r>
    </w:p>
    <w:p w:rsidR="000D0F9A" w:rsidRDefault="00A36F39">
      <w:pPr>
        <w:numPr>
          <w:ilvl w:val="0"/>
          <w:numId w:val="3"/>
        </w:numPr>
        <w:shd w:val="clear" w:color="auto" w:fill="FFFFFF"/>
        <w:spacing w:line="335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Conformación de Políticas Públicas</w:t>
      </w:r>
    </w:p>
    <w:p w:rsidR="000D0F9A" w:rsidRDefault="000D0F9A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2" w:name="_wfej04fcf6l4" w:colFirst="0" w:colLast="0"/>
      <w:bookmarkEnd w:id="2"/>
    </w:p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Líneas de investigación</w:t>
            </w:r>
          </w:p>
        </w:tc>
      </w:tr>
    </w:tbl>
    <w:p w:rsidR="000D0F9A" w:rsidRDefault="00A36F39">
      <w:pPr>
        <w:numPr>
          <w:ilvl w:val="0"/>
          <w:numId w:val="2"/>
        </w:numPr>
        <w:spacing w:before="240"/>
        <w:ind w:right="800"/>
      </w:pPr>
      <w:r>
        <w:t>Planificación Urbana y Ordenamiento Territorial</w:t>
      </w:r>
    </w:p>
    <w:p w:rsidR="000D0F9A" w:rsidRDefault="00A36F39">
      <w:pPr>
        <w:numPr>
          <w:ilvl w:val="0"/>
          <w:numId w:val="2"/>
        </w:numPr>
        <w:ind w:right="800"/>
      </w:pPr>
      <w:r>
        <w:t>Patrimonio y Desarrollo</w:t>
      </w:r>
    </w:p>
    <w:p w:rsidR="000D0F9A" w:rsidRDefault="00A36F39">
      <w:pPr>
        <w:numPr>
          <w:ilvl w:val="0"/>
          <w:numId w:val="2"/>
        </w:numPr>
        <w:ind w:right="800"/>
      </w:pPr>
      <w:r>
        <w:t>Comunicación y Educación</w:t>
      </w:r>
    </w:p>
    <w:p w:rsidR="000D0F9A" w:rsidRDefault="00A36F39">
      <w:pPr>
        <w:numPr>
          <w:ilvl w:val="0"/>
          <w:numId w:val="2"/>
        </w:numPr>
        <w:ind w:right="800"/>
      </w:pPr>
      <w:r>
        <w:t xml:space="preserve">Riesgos </w:t>
      </w:r>
      <w:proofErr w:type="spellStart"/>
      <w:r>
        <w:t>Socioambientales</w:t>
      </w:r>
      <w:proofErr w:type="spellEnd"/>
    </w:p>
    <w:p w:rsidR="000D0F9A" w:rsidRDefault="00A36F39">
      <w:pPr>
        <w:numPr>
          <w:ilvl w:val="0"/>
          <w:numId w:val="2"/>
        </w:numPr>
        <w:spacing w:after="140"/>
        <w:ind w:right="800"/>
      </w:pPr>
      <w:r>
        <w:t>Tecnología</w:t>
      </w:r>
    </w:p>
    <w:p w:rsidR="000D0F9A" w:rsidRDefault="000D0F9A">
      <w:pPr>
        <w:spacing w:before="240"/>
        <w:ind w:right="800"/>
      </w:pPr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Infraestructura edilicia</w:t>
            </w:r>
          </w:p>
        </w:tc>
      </w:tr>
    </w:tbl>
    <w:p w:rsidR="003A55DC" w:rsidRDefault="003A55DC" w:rsidP="003A55DC">
      <w:pPr>
        <w:autoSpaceDE w:val="0"/>
        <w:autoSpaceDN w:val="0"/>
        <w:adjustRightInd w:val="0"/>
        <w:spacing w:line="240" w:lineRule="auto"/>
        <w:jc w:val="both"/>
        <w:rPr>
          <w:rFonts w:ascii="TT18At00" w:hAnsi="TT18At00" w:cs="TT18At00"/>
          <w:sz w:val="19"/>
          <w:szCs w:val="19"/>
        </w:rPr>
      </w:pPr>
      <w:bookmarkStart w:id="3" w:name="_5cwnym1h0j80" w:colFirst="0" w:colLast="0"/>
      <w:bookmarkEnd w:id="3"/>
    </w:p>
    <w:p w:rsidR="003A55DC" w:rsidRPr="003A55DC" w:rsidRDefault="003A55DC" w:rsidP="003A55DC">
      <w:pPr>
        <w:autoSpaceDE w:val="0"/>
        <w:autoSpaceDN w:val="0"/>
        <w:adjustRightInd w:val="0"/>
        <w:spacing w:line="240" w:lineRule="auto"/>
        <w:jc w:val="both"/>
      </w:pPr>
      <w:r w:rsidRPr="003A55DC">
        <w:t>La Facultad de Arquitectura, Urbanismo y Diseño de la UNSJ dispone en el Complejo</w:t>
      </w:r>
      <w:r w:rsidRPr="003A55DC">
        <w:t xml:space="preserve"> </w:t>
      </w:r>
      <w:bookmarkStart w:id="4" w:name="_GoBack"/>
      <w:bookmarkEnd w:id="4"/>
      <w:r w:rsidRPr="003A55DC">
        <w:t>Universitario Islas Malvinas de una superficie de 682 ms2 destinadas al desarrollo de las</w:t>
      </w:r>
      <w:r w:rsidRPr="003A55DC">
        <w:t xml:space="preserve"> </w:t>
      </w:r>
      <w:r w:rsidRPr="003A55DC">
        <w:t>actividades de investigación en el Edificio CUIM II.</w:t>
      </w:r>
    </w:p>
    <w:p w:rsidR="000D0F9A" w:rsidRPr="003A55DC" w:rsidRDefault="003A55DC" w:rsidP="003A55DC">
      <w:pPr>
        <w:autoSpaceDE w:val="0"/>
        <w:autoSpaceDN w:val="0"/>
        <w:adjustRightInd w:val="0"/>
        <w:spacing w:line="240" w:lineRule="auto"/>
        <w:jc w:val="both"/>
      </w:pPr>
      <w:r w:rsidRPr="003A55DC">
        <w:t xml:space="preserve">El área destinada al desarrollo de las actividades de las actividades de </w:t>
      </w:r>
      <w:r w:rsidRPr="003A55DC">
        <w:t>investigación</w:t>
      </w:r>
      <w:r w:rsidRPr="003A55DC">
        <w:t xml:space="preserve"> del IRPHA</w:t>
      </w:r>
      <w:r w:rsidRPr="003A55DC">
        <w:t xml:space="preserve"> </w:t>
      </w:r>
      <w:r w:rsidRPr="003A55DC">
        <w:t>se encuentra en el 2do piso del edificio CUIM II y totaliza 536 m2. La actividad de gestión</w:t>
      </w:r>
      <w:r w:rsidRPr="003A55DC">
        <w:t xml:space="preserve"> </w:t>
      </w:r>
      <w:r w:rsidRPr="003A55DC">
        <w:t>académico-administrativa se desarrolla en un sector de 40 m2.</w:t>
      </w:r>
    </w:p>
    <w:p w:rsidR="003A55DC" w:rsidRDefault="003A55DC" w:rsidP="003A55DC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shd w:val="clear" w:color="auto" w:fill="CCCCCC"/>
        </w:rPr>
      </w:pPr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D0F9A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F9A" w:rsidRDefault="00A36F3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humanos </w:t>
            </w:r>
          </w:p>
        </w:tc>
      </w:tr>
    </w:tbl>
    <w:p w:rsidR="000D0F9A" w:rsidRDefault="00A36F39" w:rsidP="003A55DC">
      <w:pPr>
        <w:spacing w:before="240" w:line="240" w:lineRule="auto"/>
        <w:ind w:right="800"/>
      </w:pPr>
      <w:r>
        <w:t xml:space="preserve">Personal de la Unidad Ejecutora. </w:t>
      </w:r>
      <w:r w:rsidRPr="00A36F39">
        <w:rPr>
          <w:highlight w:val="yellow"/>
        </w:rPr>
        <w:t>Total:</w:t>
      </w:r>
      <w:r>
        <w:t xml:space="preserve"> </w:t>
      </w:r>
      <w:r w:rsidR="003A55DC">
        <w:t>96</w:t>
      </w:r>
    </w:p>
    <w:p w:rsidR="003A55DC" w:rsidRDefault="00A36F39" w:rsidP="003A55DC">
      <w:pPr>
        <w:spacing w:before="240" w:line="240" w:lineRule="auto"/>
        <w:ind w:right="800"/>
      </w:pPr>
      <w:r>
        <w:t>Permanente CONICET 5</w:t>
      </w:r>
      <w:r w:rsidR="003A55DC">
        <w:t xml:space="preserve"> </w:t>
      </w:r>
    </w:p>
    <w:p w:rsidR="003A55DC" w:rsidRDefault="00A36F39" w:rsidP="003A55DC">
      <w:pPr>
        <w:spacing w:before="240" w:line="240" w:lineRule="auto"/>
        <w:ind w:right="800"/>
      </w:pPr>
      <w:r>
        <w:t>Permanente NO CONICET 3</w:t>
      </w:r>
      <w:r w:rsidR="003A55DC">
        <w:t xml:space="preserve"> </w:t>
      </w:r>
    </w:p>
    <w:p w:rsidR="00A36F39" w:rsidRDefault="00A36F39" w:rsidP="003A55DC">
      <w:pPr>
        <w:spacing w:before="240" w:line="240" w:lineRule="auto"/>
        <w:ind w:right="800"/>
      </w:pPr>
      <w:r>
        <w:t>Permanente UNSJ 51</w:t>
      </w:r>
    </w:p>
    <w:p w:rsidR="003A55DC" w:rsidRDefault="003A55DC" w:rsidP="003A55DC">
      <w:pPr>
        <w:spacing w:before="240" w:line="240" w:lineRule="auto"/>
        <w:ind w:right="800"/>
      </w:pPr>
      <w:r>
        <w:t xml:space="preserve">Personal de Apoyo CONICET: </w:t>
      </w:r>
      <w:r>
        <w:t>0</w:t>
      </w:r>
    </w:p>
    <w:p w:rsidR="003A55DC" w:rsidRDefault="003A55DC" w:rsidP="003A55DC">
      <w:pPr>
        <w:spacing w:before="240" w:line="240" w:lineRule="auto"/>
        <w:ind w:right="800"/>
      </w:pPr>
      <w:r>
        <w:t>Becarios</w:t>
      </w:r>
      <w:r>
        <w:t xml:space="preserve"> CONICET</w:t>
      </w:r>
      <w:r>
        <w:t>: 19</w:t>
      </w:r>
    </w:p>
    <w:p w:rsidR="003A55DC" w:rsidRDefault="003A55DC" w:rsidP="003A55DC">
      <w:pPr>
        <w:spacing w:before="240" w:line="240" w:lineRule="auto"/>
        <w:ind w:right="800"/>
      </w:pPr>
      <w:r>
        <w:t>Becarios NO CONICET: 10</w:t>
      </w:r>
    </w:p>
    <w:p w:rsidR="003A55DC" w:rsidRDefault="003A55DC" w:rsidP="003A55DC">
      <w:pPr>
        <w:spacing w:before="240" w:line="240" w:lineRule="auto"/>
        <w:ind w:right="800"/>
      </w:pPr>
      <w:r>
        <w:t>Pasantes UNSJ: 8</w:t>
      </w:r>
    </w:p>
    <w:sectPr w:rsidR="003A55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T18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9EE"/>
    <w:multiLevelType w:val="multilevel"/>
    <w:tmpl w:val="5DD88A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8C1396"/>
    <w:multiLevelType w:val="multilevel"/>
    <w:tmpl w:val="26DE9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D05AA"/>
    <w:multiLevelType w:val="multilevel"/>
    <w:tmpl w:val="E3246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25358E"/>
    <w:multiLevelType w:val="multilevel"/>
    <w:tmpl w:val="723247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9A"/>
    <w:rsid w:val="000D0F9A"/>
    <w:rsid w:val="003A55DC"/>
    <w:rsid w:val="00A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79A3B2"/>
  <w15:docId w15:val="{EC17A8F7-9FA2-4D27-945B-24CFB020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irpha.faud.unsj.edu.ar" TargetMode="External"/><Relationship Id="rId5" Type="http://schemas.openxmlformats.org/officeDocument/2006/relationships/hyperlink" Target="mailto:directorirpha@faud.unsj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B8E60B2F</Template>
  <TotalTime>1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Andrea Maria Pawliska</cp:lastModifiedBy>
  <cp:revision>2</cp:revision>
  <dcterms:created xsi:type="dcterms:W3CDTF">2023-02-08T13:44:00Z</dcterms:created>
  <dcterms:modified xsi:type="dcterms:W3CDTF">2023-02-08T13:44:00Z</dcterms:modified>
</cp:coreProperties>
</file>