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A0F9E" w14:textId="77777777" w:rsidR="00BB7F83" w:rsidRDefault="002B7725">
      <w:pPr>
        <w:spacing w:after="120"/>
        <w:jc w:val="center"/>
      </w:pPr>
      <w:bookmarkStart w:id="0" w:name="_GoBack"/>
      <w:bookmarkEnd w:id="0"/>
      <w:r>
        <w:rPr>
          <w:noProof/>
          <w:lang w:val="es-ES" w:eastAsia="es-ES"/>
        </w:rPr>
        <w:drawing>
          <wp:inline distT="0" distB="0" distL="0" distR="0" wp14:anchorId="44DF6E48" wp14:editId="44DF6E49">
            <wp:extent cx="5334000" cy="95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334000" cy="95250"/>
                    </a:xfrm>
                    <a:prstGeom prst="rect">
                      <a:avLst/>
                    </a:prstGeom>
                  </pic:spPr>
                </pic:pic>
              </a:graphicData>
            </a:graphic>
          </wp:inline>
        </w:drawing>
      </w:r>
    </w:p>
    <w:p w14:paraId="49C5DDFD" w14:textId="77777777" w:rsidR="00BB7F83" w:rsidRDefault="00BB7F83">
      <w:pPr>
        <w:spacing w:after="40"/>
      </w:pPr>
    </w:p>
    <w:tbl>
      <w:tblPr>
        <w:tblW w:w="5000" w:type="pct"/>
        <w:tblCellMar>
          <w:left w:w="10" w:type="dxa"/>
          <w:right w:w="10" w:type="dxa"/>
        </w:tblCellMar>
        <w:tblLook w:val="0000" w:firstRow="0" w:lastRow="0" w:firstColumn="0" w:lastColumn="0" w:noHBand="0" w:noVBand="0"/>
      </w:tblPr>
      <w:tblGrid>
        <w:gridCol w:w="2475"/>
        <w:gridCol w:w="2319"/>
        <w:gridCol w:w="5132"/>
      </w:tblGrid>
      <w:tr w:rsidR="00BB7F83" w14:paraId="5DE6FB76" w14:textId="77777777">
        <w:tc>
          <w:tcPr>
            <w:tcW w:w="0" w:type="auto"/>
            <w:vAlign w:val="center"/>
          </w:tcPr>
          <w:p w14:paraId="46E21896" w14:textId="77777777" w:rsidR="00BB7F83" w:rsidRDefault="002B7725">
            <w:pPr>
              <w:jc w:val="center"/>
            </w:pPr>
            <w:r>
              <w:rPr>
                <w:noProof/>
                <w:lang w:val="es-ES" w:eastAsia="es-ES"/>
              </w:rPr>
              <w:drawing>
                <wp:inline distT="0" distB="0" distL="0" distR="0" wp14:anchorId="44DF6E4A" wp14:editId="44DF6E4B">
                  <wp:extent cx="590550" cy="533400"/>
                  <wp:effectExtent l="0" t="0" r="0" b="0"/>
                  <wp:docPr id="1355461626" name="Imagen 135546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33400"/>
                          </a:xfrm>
                          <a:prstGeom prst="rect">
                            <a:avLst/>
                          </a:prstGeom>
                        </pic:spPr>
                      </pic:pic>
                    </a:graphicData>
                  </a:graphic>
                </wp:inline>
              </w:drawing>
            </w:r>
          </w:p>
        </w:tc>
        <w:tc>
          <w:tcPr>
            <w:tcW w:w="0" w:type="auto"/>
            <w:vAlign w:val="center"/>
          </w:tcPr>
          <w:p w14:paraId="6AD61EFC" w14:textId="77777777" w:rsidR="00BB7F83" w:rsidRDefault="002B7725">
            <w:pPr>
              <w:jc w:val="center"/>
            </w:pPr>
            <w:r>
              <w:rPr>
                <w:noProof/>
                <w:lang w:val="es-ES" w:eastAsia="es-ES"/>
              </w:rPr>
              <w:drawing>
                <wp:inline distT="0" distB="0" distL="0" distR="0" wp14:anchorId="44DF6E4C" wp14:editId="44DF6E4D">
                  <wp:extent cx="552450" cy="552450"/>
                  <wp:effectExtent l="0" t="0" r="0" b="0"/>
                  <wp:docPr id="180503506" name="Imagen 18050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2450" cy="552450"/>
                          </a:xfrm>
                          <a:prstGeom prst="rect">
                            <a:avLst/>
                          </a:prstGeom>
                        </pic:spPr>
                      </pic:pic>
                    </a:graphicData>
                  </a:graphic>
                </wp:inline>
              </w:drawing>
            </w:r>
          </w:p>
        </w:tc>
        <w:tc>
          <w:tcPr>
            <w:tcW w:w="0" w:type="auto"/>
            <w:vAlign w:val="center"/>
          </w:tcPr>
          <w:p w14:paraId="336FAA5A" w14:textId="77777777" w:rsidR="00BB7F83" w:rsidRDefault="002B7725">
            <w:pPr>
              <w:jc w:val="center"/>
            </w:pPr>
            <w:r>
              <w:rPr>
                <w:noProof/>
                <w:lang w:val="es-ES" w:eastAsia="es-ES"/>
              </w:rPr>
              <w:drawing>
                <wp:inline distT="0" distB="0" distL="0" distR="0" wp14:anchorId="44DF6E4E" wp14:editId="44DF6E4F">
                  <wp:extent cx="1238250" cy="438150"/>
                  <wp:effectExtent l="0" t="0" r="0" b="0"/>
                  <wp:docPr id="1891155102" name="Imagen 189115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238250" cy="438150"/>
                          </a:xfrm>
                          <a:prstGeom prst="rect">
                            <a:avLst/>
                          </a:prstGeom>
                        </pic:spPr>
                      </pic:pic>
                    </a:graphicData>
                  </a:graphic>
                </wp:inline>
              </w:drawing>
            </w:r>
          </w:p>
        </w:tc>
      </w:tr>
    </w:tbl>
    <w:p w14:paraId="0149C3A0" w14:textId="77777777" w:rsidR="00BB7F83" w:rsidRDefault="002B7725">
      <w:pPr>
        <w:spacing w:before="300" w:after="60"/>
        <w:jc w:val="center"/>
      </w:pPr>
      <w:r>
        <w:rPr>
          <w:rFonts w:ascii="Georgia" w:eastAsia="Georgia" w:hAnsi="Georgia" w:cs="Georgia"/>
          <w:b/>
          <w:bCs/>
          <w:color w:val="6B4A22"/>
          <w:spacing w:val="20"/>
          <w:sz w:val="20"/>
          <w:szCs w:val="20"/>
        </w:rPr>
        <w:t>UNIVERSIDAD NACIONAL DE SAN JUAN</w:t>
      </w:r>
    </w:p>
    <w:p w14:paraId="05E277DE" w14:textId="77777777" w:rsidR="00BB7F83" w:rsidRDefault="002B7725">
      <w:pPr>
        <w:spacing w:after="260"/>
        <w:jc w:val="center"/>
      </w:pPr>
      <w:r>
        <w:rPr>
          <w:color w:val="6B4A22"/>
          <w:sz w:val="18"/>
          <w:szCs w:val="18"/>
        </w:rPr>
        <w:t>FACULTAD DE FILOSOFÍA, HUMANIDADES Y ARTES</w:t>
      </w:r>
    </w:p>
    <w:p w14:paraId="5C1D2F9A" w14:textId="77777777" w:rsidR="00BB7F83" w:rsidRDefault="002B7725">
      <w:pPr>
        <w:spacing w:after="60"/>
        <w:jc w:val="center"/>
      </w:pPr>
      <w:r>
        <w:rPr>
          <w:b/>
          <w:bCs/>
          <w:color w:val="3B2A1E"/>
        </w:rPr>
        <w:t>TERCER CONGRESO NACIONAL Y SEGUNDO CONGRESO INTERNACIONAL DE INVESTIGACIONES SOBRE</w:t>
      </w:r>
    </w:p>
    <w:p w14:paraId="66B815DF" w14:textId="77777777" w:rsidR="00BB7F83" w:rsidRDefault="002B7725">
      <w:pPr>
        <w:spacing w:before="40" w:after="60"/>
        <w:jc w:val="center"/>
      </w:pPr>
      <w:r>
        <w:rPr>
          <w:rFonts w:ascii="Georgia" w:eastAsia="Georgia" w:hAnsi="Georgia" w:cs="Georgia"/>
          <w:b/>
          <w:bCs/>
          <w:color w:val="A85C32"/>
          <w:spacing w:val="20"/>
          <w:sz w:val="64"/>
          <w:szCs w:val="64"/>
        </w:rPr>
        <w:t>ORIENTE Y ÁFRICA</w:t>
      </w:r>
    </w:p>
    <w:p w14:paraId="3F2BEE51" w14:textId="77777777" w:rsidR="00BB7F83" w:rsidRDefault="002B7725">
      <w:pPr>
        <w:spacing w:before="60" w:after="160"/>
        <w:jc w:val="center"/>
      </w:pPr>
      <w:r>
        <w:rPr>
          <w:rFonts w:ascii="Georgia" w:eastAsia="Georgia" w:hAnsi="Georgia" w:cs="Georgia"/>
          <w:b/>
          <w:bCs/>
          <w:color w:val="8C6C1F"/>
          <w:spacing w:val="40"/>
          <w:sz w:val="26"/>
          <w:szCs w:val="26"/>
        </w:rPr>
        <w:t>1ª CIRCULAR</w:t>
      </w:r>
    </w:p>
    <w:p w14:paraId="13627F42" w14:textId="77777777" w:rsidR="00BB7F83" w:rsidRDefault="002B7725">
      <w:pPr>
        <w:spacing w:before="80" w:after="200"/>
        <w:jc w:val="center"/>
      </w:pPr>
      <w:r>
        <w:rPr>
          <w:noProof/>
          <w:lang w:val="es-ES" w:eastAsia="es-ES"/>
        </w:rPr>
        <w:drawing>
          <wp:inline distT="0" distB="0" distL="0" distR="0" wp14:anchorId="44DF6E50" wp14:editId="44DF6E51">
            <wp:extent cx="2857500" cy="76200"/>
            <wp:effectExtent l="0" t="0" r="0" b="0"/>
            <wp:docPr id="337838582" name="Imagen 337838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0" cy="76200"/>
                    </a:xfrm>
                    <a:prstGeom prst="rect">
                      <a:avLst/>
                    </a:prstGeom>
                  </pic:spPr>
                </pic:pic>
              </a:graphicData>
            </a:graphic>
          </wp:inline>
        </w:drawing>
      </w:r>
    </w:p>
    <w:p w14:paraId="44B8B4AF" w14:textId="77777777" w:rsidR="00BB7F83" w:rsidRDefault="002B7725">
      <w:pPr>
        <w:spacing w:after="60"/>
        <w:jc w:val="center"/>
      </w:pPr>
      <w:r>
        <w:rPr>
          <w:b/>
          <w:bCs/>
          <w:color w:val="3B2A1E"/>
          <w:sz w:val="26"/>
          <w:szCs w:val="26"/>
        </w:rPr>
        <w:t>5, 6 y 7 de mayo de 2027</w:t>
      </w:r>
    </w:p>
    <w:p w14:paraId="7CF86FC4" w14:textId="77777777" w:rsidR="00BB7F83" w:rsidRDefault="002B7725">
      <w:pPr>
        <w:spacing w:after="40"/>
        <w:jc w:val="center"/>
      </w:pPr>
      <w:r>
        <w:rPr>
          <w:i/>
          <w:iCs/>
          <w:color w:val="6B4A22"/>
        </w:rPr>
        <w:t>Modalidad presencial y virtual (híbrida)</w:t>
      </w:r>
    </w:p>
    <w:p w14:paraId="61E4BC5F" w14:textId="77777777" w:rsidR="00BB7F83" w:rsidRDefault="002B7725">
      <w:pPr>
        <w:spacing w:after="320"/>
        <w:jc w:val="center"/>
      </w:pPr>
      <w:r>
        <w:rPr>
          <w:color w:val="6B4A22"/>
        </w:rPr>
        <w:t>Facultad de Filosofía, Humanidades y Artes — San Juan, Argentina</w:t>
      </w:r>
    </w:p>
    <w:tbl>
      <w:tblPr>
        <w:tblW w:w="3900" w:type="pct"/>
        <w:jc w:val="center"/>
        <w:tblBorders>
          <w:top w:val="single" w:sz="6" w:space="0" w:color="B7922E"/>
          <w:left w:val="single" w:sz="6" w:space="0" w:color="B7922E"/>
          <w:bottom w:val="single" w:sz="6" w:space="0" w:color="B7922E"/>
          <w:right w:val="single" w:sz="6" w:space="0" w:color="B7922E"/>
        </w:tblBorders>
        <w:tblCellMar>
          <w:left w:w="10" w:type="dxa"/>
          <w:right w:w="10" w:type="dxa"/>
        </w:tblCellMar>
        <w:tblLook w:val="0000" w:firstRow="0" w:lastRow="0" w:firstColumn="0" w:lastColumn="0" w:noHBand="0" w:noVBand="0"/>
      </w:tblPr>
      <w:tblGrid>
        <w:gridCol w:w="8132"/>
      </w:tblGrid>
      <w:tr w:rsidR="00BB7F83" w14:paraId="78486BFC" w14:textId="77777777">
        <w:trPr>
          <w:jc w:val="center"/>
        </w:trPr>
        <w:tc>
          <w:tcPr>
            <w:tcW w:w="0" w:type="auto"/>
            <w:shd w:val="clear" w:color="auto" w:fill="F6EEDC"/>
            <w:tcMar>
              <w:top w:w="220" w:type="dxa"/>
              <w:left w:w="260" w:type="dxa"/>
              <w:bottom w:w="220" w:type="dxa"/>
              <w:right w:w="260" w:type="dxa"/>
            </w:tcMar>
          </w:tcPr>
          <w:p w14:paraId="1F1B6041" w14:textId="77777777" w:rsidR="00BB7F83" w:rsidRDefault="002B7725">
            <w:pPr>
              <w:jc w:val="center"/>
            </w:pPr>
            <w:r>
              <w:rPr>
                <w:i/>
                <w:iCs/>
                <w:color w:val="3B2A1E"/>
              </w:rPr>
              <w:t>“Oriente y África, vastos y enigmáticos, guardan en sus entrañas milenios de historia, cultura y resistencia. Pensarlos juntos, en diálogo, es una travesía ineludible para comprender la complejidad de nuestro mundo multipolar.”</w:t>
            </w:r>
          </w:p>
        </w:tc>
      </w:tr>
    </w:tbl>
    <w:p w14:paraId="0D63A29A" w14:textId="77777777" w:rsidR="00BB7F83" w:rsidRDefault="00BB7F83">
      <w:pPr>
        <w:spacing w:before="340" w:after="60"/>
      </w:pPr>
    </w:p>
    <w:p w14:paraId="4261B1C1" w14:textId="77777777" w:rsidR="00BB7F83" w:rsidRDefault="002B7725">
      <w:pPr>
        <w:spacing w:after="120"/>
        <w:jc w:val="center"/>
      </w:pPr>
      <w:r>
        <w:rPr>
          <w:noProof/>
          <w:lang w:val="es-ES" w:eastAsia="es-ES"/>
        </w:rPr>
        <w:drawing>
          <wp:inline distT="0" distB="0" distL="0" distR="0" wp14:anchorId="44DF6E52" wp14:editId="44DF6E53">
            <wp:extent cx="5334000" cy="95250"/>
            <wp:effectExtent l="0" t="0" r="0" b="0"/>
            <wp:docPr id="1367931891" name="Imagen 136793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334000" cy="95250"/>
                    </a:xfrm>
                    <a:prstGeom prst="rect">
                      <a:avLst/>
                    </a:prstGeom>
                  </pic:spPr>
                </pic:pic>
              </a:graphicData>
            </a:graphic>
          </wp:inline>
        </w:drawing>
      </w:r>
    </w:p>
    <w:p w14:paraId="38ED21B7" w14:textId="77777777" w:rsidR="00BB7F83" w:rsidRDefault="002B7725">
      <w:pPr>
        <w:jc w:val="center"/>
      </w:pPr>
      <w:r>
        <w:rPr>
          <w:color w:val="6B4A22"/>
          <w:sz w:val="16"/>
          <w:szCs w:val="16"/>
        </w:rPr>
        <w:t>APROBADO POR RESOLUCIÓN N° 162/26 — CD-FFHA</w:t>
      </w:r>
    </w:p>
    <w:p w14:paraId="7C3332D5" w14:textId="77777777" w:rsidR="00BB7F83" w:rsidRDefault="002B7725">
      <w:r>
        <w:br w:type="page"/>
      </w:r>
    </w:p>
    <w:p w14:paraId="53320EE9"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lastRenderedPageBreak/>
        <w:t>ORGANIZAN</w:t>
      </w:r>
    </w:p>
    <w:p w14:paraId="4272F276" w14:textId="77777777" w:rsidR="00BB7F83" w:rsidRDefault="002B7725">
      <w:pPr>
        <w:spacing w:after="90"/>
        <w:ind w:left="340" w:hanging="220"/>
      </w:pPr>
      <w:r>
        <w:rPr>
          <w:b/>
          <w:bCs/>
          <w:color w:val="8C6C1F"/>
        </w:rPr>
        <w:t xml:space="preserve">❖  </w:t>
      </w:r>
      <w:r>
        <w:rPr>
          <w:color w:val="2A2018"/>
        </w:rPr>
        <w:t>Gabinete de Estudios e Investigaciones de Oriente (GEIDO)</w:t>
      </w:r>
    </w:p>
    <w:p w14:paraId="4ECC6F55" w14:textId="77777777" w:rsidR="00BB7F83" w:rsidRDefault="002B7725">
      <w:pPr>
        <w:spacing w:after="90"/>
        <w:ind w:left="340" w:hanging="220"/>
      </w:pPr>
      <w:r>
        <w:rPr>
          <w:b/>
          <w:bCs/>
          <w:color w:val="8C6C1F"/>
        </w:rPr>
        <w:t xml:space="preserve">❖  </w:t>
      </w:r>
      <w:r>
        <w:rPr>
          <w:color w:val="2A2018"/>
        </w:rPr>
        <w:t>Departamento de Historia — FFHA, Universidad Nacional de San Juan</w:t>
      </w:r>
    </w:p>
    <w:p w14:paraId="13D80140" w14:textId="77777777" w:rsidR="00BB7F83" w:rsidRDefault="002B7725">
      <w:pPr>
        <w:spacing w:after="90"/>
        <w:ind w:left="340" w:hanging="220"/>
      </w:pPr>
      <w:r>
        <w:rPr>
          <w:b/>
          <w:bCs/>
          <w:color w:val="8C6C1F"/>
        </w:rPr>
        <w:t xml:space="preserve">❖  </w:t>
      </w:r>
      <w:r>
        <w:rPr>
          <w:color w:val="2A2018"/>
        </w:rPr>
        <w:t>Instituto de Filosofía "Eduardo Peñafort"</w:t>
      </w:r>
    </w:p>
    <w:p w14:paraId="60B4A0E8" w14:textId="77777777" w:rsidR="00BB7F83" w:rsidRDefault="002B7725">
      <w:pPr>
        <w:spacing w:after="90"/>
        <w:ind w:left="340" w:hanging="220"/>
      </w:pPr>
      <w:r>
        <w:rPr>
          <w:b/>
          <w:bCs/>
          <w:color w:val="8C6C1F"/>
        </w:rPr>
        <w:t xml:space="preserve">❖  </w:t>
      </w:r>
      <w:r>
        <w:rPr>
          <w:color w:val="2A2018"/>
        </w:rPr>
        <w:t>Programa Universitario de Historia de Asia y África: "Voces, Memorias y Horizontes de Otredad"</w:t>
      </w:r>
    </w:p>
    <w:p w14:paraId="0C8DC804" w14:textId="77777777" w:rsidR="00BB7F83" w:rsidRDefault="002B7725">
      <w:pPr>
        <w:spacing w:after="90"/>
        <w:ind w:left="340" w:hanging="220"/>
      </w:pPr>
      <w:r>
        <w:rPr>
          <w:b/>
          <w:bCs/>
          <w:color w:val="8C6C1F"/>
        </w:rPr>
        <w:t xml:space="preserve">❖  </w:t>
      </w:r>
      <w:r>
        <w:rPr>
          <w:color w:val="2A2018"/>
        </w:rPr>
        <w:t>Programa Universitario "Historia y Gestión Documental: Legado de las Comunidades Orientales y Africanas en San Juan"</w:t>
      </w:r>
    </w:p>
    <w:p w14:paraId="363EEBDD" w14:textId="77777777" w:rsidR="00BB7F83" w:rsidRDefault="002B7725">
      <w:pPr>
        <w:spacing w:after="90"/>
        <w:ind w:left="340" w:hanging="220"/>
      </w:pPr>
      <w:r>
        <w:rPr>
          <w:b/>
          <w:bCs/>
          <w:color w:val="8C6C1F"/>
        </w:rPr>
        <w:t xml:space="preserve">❖  </w:t>
      </w:r>
      <w:r>
        <w:rPr>
          <w:color w:val="2A2018"/>
        </w:rPr>
        <w:t>Proyecto "Oriente y el MENA como 'Otro': Identidad, Relato y Poder en una Hermenéutica Intercultural"</w:t>
      </w:r>
    </w:p>
    <w:p w14:paraId="26EB4FC8" w14:textId="77777777" w:rsidR="00BB7F83" w:rsidRDefault="002B7725">
      <w:pPr>
        <w:spacing w:after="90"/>
        <w:ind w:left="340" w:hanging="220"/>
      </w:pPr>
      <w:r>
        <w:rPr>
          <w:b/>
          <w:bCs/>
          <w:color w:val="8C6C1F"/>
        </w:rPr>
        <w:t xml:space="preserve">❖  </w:t>
      </w:r>
      <w:r>
        <w:rPr>
          <w:color w:val="2A2018"/>
        </w:rPr>
        <w:t>Secretaría de Investigación y Creación de la FFHA</w:t>
      </w:r>
    </w:p>
    <w:p w14:paraId="2C6084F9" w14:textId="77777777" w:rsidR="00BB7F83" w:rsidRDefault="002B7725">
      <w:pPr>
        <w:spacing w:after="90"/>
        <w:ind w:left="340" w:hanging="220"/>
      </w:pPr>
      <w:r>
        <w:rPr>
          <w:b/>
          <w:bCs/>
          <w:color w:val="8C6C1F"/>
        </w:rPr>
        <w:t xml:space="preserve">❖  </w:t>
      </w:r>
      <w:r>
        <w:rPr>
          <w:color w:val="2A2018"/>
        </w:rPr>
        <w:t>Secretaría de Extensión de la FFHA</w:t>
      </w:r>
    </w:p>
    <w:p w14:paraId="0DDA0BB8"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COMISIÓN ORGANIZADORA</w:t>
      </w:r>
    </w:p>
    <w:p w14:paraId="01003B5C" w14:textId="77777777" w:rsidR="00BB7F83" w:rsidRDefault="002B7725">
      <w:pPr>
        <w:spacing w:after="160" w:line="300" w:lineRule="auto"/>
      </w:pPr>
      <w:r>
        <w:rPr>
          <w:b/>
          <w:bCs/>
          <w:color w:val="2A2018"/>
        </w:rPr>
        <w:t xml:space="preserve">Coordinación General: Dra. Cristian Espejo (Coordinadora del GEIDO) — </w:t>
      </w:r>
      <w:proofErr w:type="spellStart"/>
      <w:r>
        <w:rPr>
          <w:b/>
          <w:bCs/>
          <w:color w:val="2A2018"/>
        </w:rPr>
        <w:t>Mag</w:t>
      </w:r>
      <w:proofErr w:type="spellEnd"/>
      <w:r>
        <w:rPr>
          <w:b/>
          <w:bCs/>
          <w:color w:val="2A2018"/>
        </w:rPr>
        <w:t>. Silvina López Ríos (Co-Coordinadora del GEIDO)</w:t>
      </w:r>
    </w:p>
    <w:p w14:paraId="00F1DDAA" w14:textId="77777777" w:rsidR="00636350" w:rsidRPr="007A4DDA" w:rsidRDefault="002B7725">
      <w:pPr>
        <w:spacing w:after="160" w:line="300" w:lineRule="auto"/>
        <w:rPr>
          <w:color w:val="2A2018"/>
          <w:lang w:val="pt-BR"/>
        </w:rPr>
      </w:pPr>
      <w:r>
        <w:rPr>
          <w:color w:val="2A2018"/>
        </w:rPr>
        <w:t xml:space="preserve">Dr. Julio Páez · Dr. Federico </w:t>
      </w:r>
      <w:proofErr w:type="spellStart"/>
      <w:r>
        <w:rPr>
          <w:color w:val="2A2018"/>
        </w:rPr>
        <w:t>Assis</w:t>
      </w:r>
      <w:proofErr w:type="spellEnd"/>
      <w:r>
        <w:rPr>
          <w:color w:val="2A2018"/>
        </w:rPr>
        <w:t xml:space="preserve"> González · Prof. Emmanuel </w:t>
      </w:r>
      <w:proofErr w:type="spellStart"/>
      <w:r>
        <w:rPr>
          <w:color w:val="2A2018"/>
        </w:rPr>
        <w:t>Arnáez</w:t>
      </w:r>
      <w:proofErr w:type="spellEnd"/>
    </w:p>
    <w:p w14:paraId="59D180CC" w14:textId="77777777" w:rsidR="00BB7F83" w:rsidRDefault="002B7725">
      <w:pPr>
        <w:spacing w:after="160" w:line="300" w:lineRule="auto"/>
      </w:pPr>
      <w:r>
        <w:rPr>
          <w:color w:val="2A2018"/>
          <w:lang w:val="pt-BR"/>
        </w:rPr>
        <w:t xml:space="preserve">Dra. Delia Pilar Otero · Lic. Esp. Sergio Guzmán · </w:t>
      </w:r>
      <w:proofErr w:type="gramStart"/>
      <w:r>
        <w:rPr>
          <w:color w:val="2A2018"/>
          <w:lang w:val="pt-BR"/>
        </w:rPr>
        <w:t>Prof.</w:t>
      </w:r>
      <w:proofErr w:type="gramEnd"/>
      <w:r>
        <w:rPr>
          <w:color w:val="2A2018"/>
          <w:lang w:val="pt-BR"/>
        </w:rPr>
        <w:t xml:space="preserve"> Carolina Olivares</w:t>
      </w:r>
    </w:p>
    <w:p w14:paraId="554706BB" w14:textId="77777777" w:rsidR="00BB7F83" w:rsidRDefault="002B7725">
      <w:pPr>
        <w:spacing w:after="160" w:line="300" w:lineRule="auto"/>
      </w:pPr>
      <w:proofErr w:type="spellStart"/>
      <w:r>
        <w:rPr>
          <w:color w:val="2A2018"/>
        </w:rPr>
        <w:t>Mag</w:t>
      </w:r>
      <w:proofErr w:type="spellEnd"/>
      <w:r>
        <w:rPr>
          <w:color w:val="2A2018"/>
        </w:rPr>
        <w:t xml:space="preserve">. Paula Rodríguez · Prof. Jimena Retamar </w:t>
      </w:r>
      <w:proofErr w:type="spellStart"/>
      <w:r>
        <w:rPr>
          <w:color w:val="2A2018"/>
        </w:rPr>
        <w:t>Monch</w:t>
      </w:r>
      <w:proofErr w:type="spellEnd"/>
    </w:p>
    <w:p w14:paraId="20DA25C0" w14:textId="77777777" w:rsidR="00BB7F83" w:rsidRPr="004F17C6" w:rsidRDefault="002B7725">
      <w:pPr>
        <w:spacing w:after="160" w:line="300" w:lineRule="auto"/>
        <w:rPr>
          <w:lang w:val="es-ES"/>
        </w:rPr>
      </w:pPr>
      <w:r>
        <w:rPr>
          <w:color w:val="2A2018"/>
          <w:lang w:val="pt-BR"/>
        </w:rPr>
        <w:t xml:space="preserve">Lic. </w:t>
      </w:r>
      <w:proofErr w:type="spellStart"/>
      <w:r>
        <w:rPr>
          <w:color w:val="2A2018"/>
          <w:lang w:val="pt-BR"/>
        </w:rPr>
        <w:t>Melisa</w:t>
      </w:r>
      <w:proofErr w:type="spellEnd"/>
      <w:r>
        <w:rPr>
          <w:color w:val="2A2018"/>
          <w:lang w:val="pt-BR"/>
        </w:rPr>
        <w:t xml:space="preserve"> Natalia Fernández García · Lic. Carina Segura · Lic. Claudia Chávez</w:t>
      </w:r>
    </w:p>
    <w:p w14:paraId="6BE70D37"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COMISIÓN ACADÉMICA</w:t>
      </w:r>
    </w:p>
    <w:p w14:paraId="19F2E85A" w14:textId="77777777" w:rsidR="00BB7F83" w:rsidRDefault="002B7725">
      <w:pPr>
        <w:spacing w:after="160" w:line="300" w:lineRule="auto"/>
      </w:pPr>
      <w:proofErr w:type="spellStart"/>
      <w:r>
        <w:rPr>
          <w:color w:val="2A2018"/>
        </w:rPr>
        <w:t>Mag</w:t>
      </w:r>
      <w:proofErr w:type="spellEnd"/>
      <w:r>
        <w:rPr>
          <w:color w:val="2A2018"/>
        </w:rPr>
        <w:t>. Myriam Arrabal (Decana de la FFHA-UNSJ) · Dr. Ernesto Torres (Secretario de Investigación)</w:t>
      </w:r>
    </w:p>
    <w:p w14:paraId="16C8716E" w14:textId="6E67E3E9" w:rsidR="00BB7F83" w:rsidRDefault="002B7725">
      <w:pPr>
        <w:spacing w:after="160" w:line="300" w:lineRule="auto"/>
      </w:pPr>
      <w:r>
        <w:rPr>
          <w:color w:val="2A2018"/>
        </w:rPr>
        <w:t xml:space="preserve">Prof. Juan </w:t>
      </w:r>
      <w:r w:rsidR="0057595B">
        <w:rPr>
          <w:color w:val="2A2018"/>
        </w:rPr>
        <w:t>Carlos</w:t>
      </w:r>
      <w:r>
        <w:rPr>
          <w:color w:val="2A2018"/>
        </w:rPr>
        <w:t xml:space="preserve"> Caballero (Secretario de Extensión) · Dr. Julio Páez (Director del IDEF) · Dr. Federico </w:t>
      </w:r>
      <w:proofErr w:type="spellStart"/>
      <w:r>
        <w:rPr>
          <w:color w:val="2A2018"/>
        </w:rPr>
        <w:t>Assis</w:t>
      </w:r>
      <w:proofErr w:type="spellEnd"/>
      <w:r>
        <w:rPr>
          <w:color w:val="2A2018"/>
        </w:rPr>
        <w:t xml:space="preserve"> González</w:t>
      </w:r>
    </w:p>
    <w:p w14:paraId="22B44D4C" w14:textId="77777777" w:rsidR="00BB7F83" w:rsidRDefault="002B7725">
      <w:pPr>
        <w:spacing w:after="160" w:line="300" w:lineRule="auto"/>
      </w:pPr>
      <w:r>
        <w:rPr>
          <w:color w:val="2A2018"/>
        </w:rPr>
        <w:t xml:space="preserve">Dra. Cristian Espejo · </w:t>
      </w:r>
      <w:proofErr w:type="spellStart"/>
      <w:r>
        <w:rPr>
          <w:color w:val="2A2018"/>
        </w:rPr>
        <w:t>Mag</w:t>
      </w:r>
      <w:proofErr w:type="spellEnd"/>
      <w:r>
        <w:rPr>
          <w:color w:val="2A2018"/>
        </w:rPr>
        <w:t xml:space="preserve">. Silvina López Ríos · Dra. </w:t>
      </w:r>
      <w:proofErr w:type="spellStart"/>
      <w:r>
        <w:rPr>
          <w:color w:val="2A2018"/>
        </w:rPr>
        <w:t>Elbia</w:t>
      </w:r>
      <w:proofErr w:type="spellEnd"/>
      <w:r>
        <w:rPr>
          <w:color w:val="2A2018"/>
        </w:rPr>
        <w:t xml:space="preserve"> Di Fabio (</w:t>
      </w:r>
      <w:proofErr w:type="spellStart"/>
      <w:r>
        <w:rPr>
          <w:color w:val="2A2018"/>
        </w:rPr>
        <w:t>Fac</w:t>
      </w:r>
      <w:proofErr w:type="spellEnd"/>
      <w:r>
        <w:rPr>
          <w:color w:val="2A2018"/>
        </w:rPr>
        <w:t xml:space="preserve">. de Filosofía y Letras, </w:t>
      </w:r>
      <w:proofErr w:type="spellStart"/>
      <w:r>
        <w:rPr>
          <w:color w:val="2A2018"/>
        </w:rPr>
        <w:t>UNCu</w:t>
      </w:r>
      <w:proofErr w:type="spellEnd"/>
      <w:r>
        <w:rPr>
          <w:color w:val="2A2018"/>
        </w:rPr>
        <w:t>)</w:t>
      </w:r>
    </w:p>
    <w:p w14:paraId="7A062942" w14:textId="77777777" w:rsidR="00BB7F83" w:rsidRPr="0057595B" w:rsidRDefault="002B7725">
      <w:pPr>
        <w:spacing w:after="160" w:line="300" w:lineRule="auto"/>
      </w:pPr>
      <w:r w:rsidRPr="0057595B">
        <w:rPr>
          <w:color w:val="2A2018"/>
        </w:rPr>
        <w:t>Lic. Sergio Guzmán (UNSJ) · Lic. Melisa Fernández García (UCC)</w:t>
      </w:r>
    </w:p>
    <w:p w14:paraId="5969C236" w14:textId="77777777" w:rsidR="00BB7F83" w:rsidRPr="0057595B" w:rsidRDefault="002B7725">
      <w:r w:rsidRPr="0057595B">
        <w:br w:type="page"/>
      </w:r>
    </w:p>
    <w:p w14:paraId="494C678F"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lastRenderedPageBreak/>
        <w:t>FUNDAMENTACIÓN</w:t>
      </w:r>
    </w:p>
    <w:p w14:paraId="132DBFE7" w14:textId="77777777" w:rsidR="00BB7F83" w:rsidRDefault="002B7725">
      <w:pPr>
        <w:spacing w:after="160" w:line="300" w:lineRule="auto"/>
        <w:jc w:val="both"/>
      </w:pPr>
      <w:r>
        <w:rPr>
          <w:color w:val="2A2018"/>
        </w:rPr>
        <w:t>En el seno de la Facultad de Filosofía, Humanidades y Artes se ha institucionalizado el Gabinete de Estudios e Investigaciones de Oriente (GEIDO), fruto de un extenso camino signado por el interés en las miradas sobre Oriente ajenas al eurocentrismo, sostenido por más de dos décadas de proyectos de investigación y extensión.</w:t>
      </w:r>
    </w:p>
    <w:p w14:paraId="5D27CA6C" w14:textId="77777777" w:rsidR="00BB7F83" w:rsidRDefault="002B7725">
      <w:pPr>
        <w:spacing w:after="160" w:line="300" w:lineRule="auto"/>
        <w:jc w:val="both"/>
      </w:pPr>
      <w:r>
        <w:rPr>
          <w:color w:val="2A2018"/>
        </w:rPr>
        <w:t xml:space="preserve">Este Tercer Congreso incorpora, además, a África como campo de estudio en diálogo con Oriente. La ampliación no responde a un criterio meramente aditivo, sino a un fundamento epistemológico: ambas regiones comparten la condición de haber sido objeto de las operaciones de </w:t>
      </w:r>
      <w:proofErr w:type="spellStart"/>
      <w:r>
        <w:rPr>
          <w:color w:val="2A2018"/>
        </w:rPr>
        <w:t>otrización</w:t>
      </w:r>
      <w:proofErr w:type="spellEnd"/>
      <w:r>
        <w:rPr>
          <w:color w:val="2A2018"/>
        </w:rPr>
        <w:t xml:space="preserve">, </w:t>
      </w:r>
      <w:proofErr w:type="spellStart"/>
      <w:r>
        <w:rPr>
          <w:color w:val="2A2018"/>
        </w:rPr>
        <w:t>exotización</w:t>
      </w:r>
      <w:proofErr w:type="spellEnd"/>
      <w:r>
        <w:rPr>
          <w:color w:val="2A2018"/>
        </w:rPr>
        <w:t xml:space="preserve"> y </w:t>
      </w:r>
      <w:proofErr w:type="spellStart"/>
      <w:r>
        <w:rPr>
          <w:color w:val="2A2018"/>
        </w:rPr>
        <w:t>subalternización</w:t>
      </w:r>
      <w:proofErr w:type="spellEnd"/>
      <w:r>
        <w:rPr>
          <w:color w:val="2A2018"/>
        </w:rPr>
        <w:t xml:space="preserve"> que Edward Said describió para el orientalismo, y que autores como </w:t>
      </w:r>
      <w:proofErr w:type="spellStart"/>
      <w:r>
        <w:rPr>
          <w:color w:val="2A2018"/>
        </w:rPr>
        <w:t>Frantz</w:t>
      </w:r>
      <w:proofErr w:type="spellEnd"/>
      <w:r>
        <w:rPr>
          <w:color w:val="2A2018"/>
        </w:rPr>
        <w:t xml:space="preserve"> </w:t>
      </w:r>
      <w:proofErr w:type="spellStart"/>
      <w:r>
        <w:rPr>
          <w:color w:val="2A2018"/>
        </w:rPr>
        <w:t>Fanon</w:t>
      </w:r>
      <w:proofErr w:type="spellEnd"/>
      <w:r>
        <w:rPr>
          <w:color w:val="2A2018"/>
        </w:rPr>
        <w:t xml:space="preserve">, </w:t>
      </w:r>
      <w:proofErr w:type="spellStart"/>
      <w:r>
        <w:rPr>
          <w:color w:val="2A2018"/>
        </w:rPr>
        <w:t>Achille</w:t>
      </w:r>
      <w:proofErr w:type="spellEnd"/>
      <w:r>
        <w:rPr>
          <w:color w:val="2A2018"/>
        </w:rPr>
        <w:t xml:space="preserve"> </w:t>
      </w:r>
      <w:proofErr w:type="spellStart"/>
      <w:r>
        <w:rPr>
          <w:color w:val="2A2018"/>
        </w:rPr>
        <w:t>Mbembe</w:t>
      </w:r>
      <w:proofErr w:type="spellEnd"/>
      <w:r>
        <w:rPr>
          <w:color w:val="2A2018"/>
        </w:rPr>
        <w:t xml:space="preserve"> o </w:t>
      </w:r>
      <w:proofErr w:type="spellStart"/>
      <w:r>
        <w:rPr>
          <w:color w:val="2A2018"/>
        </w:rPr>
        <w:t>Ngũgĩ</w:t>
      </w:r>
      <w:proofErr w:type="spellEnd"/>
      <w:r>
        <w:rPr>
          <w:color w:val="2A2018"/>
        </w:rPr>
        <w:t xml:space="preserve"> </w:t>
      </w:r>
      <w:proofErr w:type="spellStart"/>
      <w:r>
        <w:rPr>
          <w:color w:val="2A2018"/>
        </w:rPr>
        <w:t>wa</w:t>
      </w:r>
      <w:proofErr w:type="spellEnd"/>
      <w:r>
        <w:rPr>
          <w:color w:val="2A2018"/>
        </w:rPr>
        <w:t xml:space="preserve"> </w:t>
      </w:r>
      <w:proofErr w:type="spellStart"/>
      <w:r>
        <w:rPr>
          <w:color w:val="2A2018"/>
        </w:rPr>
        <w:t>Thiong'o</w:t>
      </w:r>
      <w:proofErr w:type="spellEnd"/>
      <w:r>
        <w:rPr>
          <w:color w:val="2A2018"/>
        </w:rPr>
        <w:t xml:space="preserve"> extendieron y reformularon para el continente africano.</w:t>
      </w:r>
    </w:p>
    <w:p w14:paraId="5A8D7257" w14:textId="77777777" w:rsidR="00BB7F83" w:rsidRDefault="002B7725">
      <w:pPr>
        <w:spacing w:after="160" w:line="300" w:lineRule="auto"/>
        <w:jc w:val="both"/>
      </w:pPr>
      <w:r>
        <w:rPr>
          <w:color w:val="2A2018"/>
        </w:rPr>
        <w:t xml:space="preserve">En la misma dirección, el Congreso recoge los aportes de </w:t>
      </w:r>
      <w:proofErr w:type="spellStart"/>
      <w:r>
        <w:rPr>
          <w:color w:val="2A2018"/>
        </w:rPr>
        <w:t>Tzvetan</w:t>
      </w:r>
      <w:proofErr w:type="spellEnd"/>
      <w:r>
        <w:rPr>
          <w:color w:val="2A2018"/>
        </w:rPr>
        <w:t xml:space="preserve"> </w:t>
      </w:r>
      <w:proofErr w:type="spellStart"/>
      <w:r>
        <w:rPr>
          <w:color w:val="2A2018"/>
        </w:rPr>
        <w:t>Todorov</w:t>
      </w:r>
      <w:proofErr w:type="spellEnd"/>
      <w:r>
        <w:rPr>
          <w:color w:val="2A2018"/>
        </w:rPr>
        <w:t xml:space="preserve"> sobre la construcción de la alteridad, de </w:t>
      </w:r>
      <w:proofErr w:type="spellStart"/>
      <w:r>
        <w:rPr>
          <w:color w:val="2A2018"/>
        </w:rPr>
        <w:t>Gayatri</w:t>
      </w:r>
      <w:proofErr w:type="spellEnd"/>
      <w:r>
        <w:rPr>
          <w:color w:val="2A2018"/>
        </w:rPr>
        <w:t xml:space="preserve"> </w:t>
      </w:r>
      <w:proofErr w:type="spellStart"/>
      <w:r>
        <w:rPr>
          <w:color w:val="2A2018"/>
        </w:rPr>
        <w:t>Chakravorty</w:t>
      </w:r>
      <w:proofErr w:type="spellEnd"/>
      <w:r>
        <w:rPr>
          <w:color w:val="2A2018"/>
        </w:rPr>
        <w:t xml:space="preserve"> </w:t>
      </w:r>
      <w:proofErr w:type="spellStart"/>
      <w:r>
        <w:rPr>
          <w:color w:val="2A2018"/>
        </w:rPr>
        <w:t>Spivak</w:t>
      </w:r>
      <w:proofErr w:type="spellEnd"/>
      <w:r>
        <w:rPr>
          <w:color w:val="2A2018"/>
        </w:rPr>
        <w:t xml:space="preserve"> en torno a la voz del sujeto subalterno y de </w:t>
      </w:r>
      <w:proofErr w:type="spellStart"/>
      <w:r>
        <w:rPr>
          <w:color w:val="2A2018"/>
        </w:rPr>
        <w:t>Dipesh</w:t>
      </w:r>
      <w:proofErr w:type="spellEnd"/>
      <w:r>
        <w:rPr>
          <w:color w:val="2A2018"/>
        </w:rPr>
        <w:t xml:space="preserve"> </w:t>
      </w:r>
      <w:proofErr w:type="spellStart"/>
      <w:r>
        <w:rPr>
          <w:color w:val="2A2018"/>
        </w:rPr>
        <w:t>Chakrabarty</w:t>
      </w:r>
      <w:proofErr w:type="spellEnd"/>
      <w:r>
        <w:rPr>
          <w:color w:val="2A2018"/>
        </w:rPr>
        <w:t xml:space="preserve"> en su propuesta de «</w:t>
      </w:r>
      <w:proofErr w:type="spellStart"/>
      <w:r>
        <w:rPr>
          <w:color w:val="2A2018"/>
        </w:rPr>
        <w:t>provincializar</w:t>
      </w:r>
      <w:proofErr w:type="spellEnd"/>
      <w:r>
        <w:rPr>
          <w:color w:val="2A2018"/>
        </w:rPr>
        <w:t xml:space="preserve"> Europa». Se trata de categorías que permiten interrogar no solo la mirada sobre el Otro, sino también la mismidad desde la cual ese Otro es nombrado, representado y jerarquizado.</w:t>
      </w:r>
    </w:p>
    <w:p w14:paraId="7F685D07" w14:textId="77777777" w:rsidR="00BB7F83" w:rsidRDefault="002B7725">
      <w:pPr>
        <w:spacing w:after="160" w:line="300" w:lineRule="auto"/>
        <w:jc w:val="both"/>
      </w:pPr>
      <w:r>
        <w:rPr>
          <w:color w:val="2A2018"/>
        </w:rPr>
        <w:t>La categoría de "Sur Global" y las corrientes de estudios poscoloniales comparados ofrecen un marco común desde el cual leer a Oriente y a África no como objetos aislados, sino como espacios históricamente vinculados por rutas comerciales, religiosas e intelectuales, por procesos compartidos de colonización y descolonización, y por su posición estructural en el orden geopolítico contemporáneo, incluido el actual diálogo Sur-Sur.</w:t>
      </w:r>
    </w:p>
    <w:p w14:paraId="61C5C52F" w14:textId="77777777" w:rsidR="00BB7F83" w:rsidRDefault="002B7725">
      <w:pPr>
        <w:spacing w:after="160" w:line="300" w:lineRule="auto"/>
        <w:jc w:val="both"/>
      </w:pPr>
      <w:r>
        <w:rPr>
          <w:color w:val="2A2018"/>
        </w:rPr>
        <w:t>Este Congreso se desarrolla en un contexto mundial de profundas transformaciones geopolíticas en el que Oriente y África ocupan un lugar protagónico: desde los conflictos en el Medio Oriente y la reconfiguración del orden multipolar, hasta el ascenso de Asia como eje articulador del siglo XXI, los procesos africanos de innovación y resistencia, y las nuevas rutas de intercambio cultural, económico y epistémico. El GEIDO entiende que la universidad pública tiene la responsabilidad de producir conocimiento situado, crítico y comprometido con la comprensión de estas transformaciones.</w:t>
      </w:r>
    </w:p>
    <w:p w14:paraId="7B2A8EC9" w14:textId="77777777" w:rsidR="00BB7F83" w:rsidRDefault="002B7725">
      <w:pPr>
        <w:spacing w:after="160" w:line="300" w:lineRule="auto"/>
        <w:jc w:val="both"/>
      </w:pPr>
      <w:r>
        <w:rPr>
          <w:color w:val="2A2018"/>
        </w:rPr>
        <w:t xml:space="preserve">Se pretende avanzar en un camino que profundice las praxis epistémicas actuales, destacando experiencias </w:t>
      </w:r>
      <w:proofErr w:type="spellStart"/>
      <w:r>
        <w:rPr>
          <w:color w:val="2A2018"/>
        </w:rPr>
        <w:t>contrahegemónicas</w:t>
      </w:r>
      <w:proofErr w:type="spellEnd"/>
      <w:r>
        <w:rPr>
          <w:color w:val="2A2018"/>
        </w:rPr>
        <w:t>, liberadoras y emancipadoras, en un diálogo pluridisciplinar, abierto y respetuoso.</w:t>
      </w:r>
    </w:p>
    <w:p w14:paraId="2AB4B8BF" w14:textId="77777777" w:rsidR="00BB7F83" w:rsidRDefault="002B7725">
      <w:r>
        <w:br w:type="page"/>
      </w:r>
    </w:p>
    <w:p w14:paraId="72203773"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lastRenderedPageBreak/>
        <w:t>EJES TEMÁTICOS</w:t>
      </w:r>
    </w:p>
    <w:p w14:paraId="58FC1C3B" w14:textId="77777777" w:rsidR="00BB7F83" w:rsidRDefault="002B7725">
      <w:pPr>
        <w:spacing w:after="220"/>
        <w:jc w:val="center"/>
      </w:pPr>
      <w:r>
        <w:rPr>
          <w:i/>
          <w:iCs/>
          <w:color w:val="6B4A22"/>
          <w:sz w:val="19"/>
          <w:szCs w:val="19"/>
        </w:rPr>
        <w:t>(</w:t>
      </w:r>
      <w:proofErr w:type="gramStart"/>
      <w:r>
        <w:rPr>
          <w:i/>
          <w:iCs/>
          <w:color w:val="6B4A22"/>
          <w:sz w:val="19"/>
          <w:szCs w:val="19"/>
        </w:rPr>
        <w:t>no</w:t>
      </w:r>
      <w:proofErr w:type="gramEnd"/>
      <w:r>
        <w:rPr>
          <w:i/>
          <w:iCs/>
          <w:color w:val="6B4A22"/>
          <w:sz w:val="19"/>
          <w:szCs w:val="19"/>
        </w:rPr>
        <w:t xml:space="preserve"> excluyentes)</w:t>
      </w:r>
    </w:p>
    <w:p w14:paraId="5AD3DB2C"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a)  </w:t>
      </w:r>
      <w:r>
        <w:rPr>
          <w:b/>
          <w:bCs/>
          <w:i/>
          <w:iCs/>
          <w:color w:val="3B2A1E"/>
        </w:rPr>
        <w:t xml:space="preserve">Hermenéuticas de la alteridad: </w:t>
      </w:r>
      <w:r>
        <w:rPr>
          <w:color w:val="2A2018"/>
        </w:rPr>
        <w:t>orientalismo,</w:t>
      </w:r>
      <w:r>
        <w:rPr>
          <w:color w:val="2A2018"/>
        </w:rPr>
        <w:t xml:space="preserve"> </w:t>
      </w:r>
      <w:proofErr w:type="spellStart"/>
      <w:r>
        <w:rPr>
          <w:color w:val="2A2018"/>
        </w:rPr>
        <w:t>subalternidad</w:t>
      </w:r>
      <w:proofErr w:type="spellEnd"/>
      <w:r>
        <w:rPr>
          <w:color w:val="2A2018"/>
        </w:rPr>
        <w:t xml:space="preserve"> y crítica poscolonial en Asia y África.</w:t>
      </w:r>
    </w:p>
    <w:p w14:paraId="0C8C1BBA"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b)  </w:t>
      </w:r>
      <w:r>
        <w:rPr>
          <w:b/>
          <w:bCs/>
          <w:i/>
          <w:iCs/>
          <w:color w:val="3B2A1E"/>
        </w:rPr>
        <w:t xml:space="preserve">Mundos conectados: Asia y África en la Antigüedad y el Medioevo. </w:t>
      </w:r>
      <w:r>
        <w:rPr>
          <w:color w:val="2A2018"/>
        </w:rPr>
        <w:t>Imperios, rutas comerciales y sincretismos religiosos, del Mediterráneo oriental a China.</w:t>
      </w:r>
    </w:p>
    <w:p w14:paraId="761061E5"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c)  </w:t>
      </w:r>
      <w:r>
        <w:rPr>
          <w:b/>
          <w:bCs/>
          <w:i/>
          <w:iCs/>
          <w:color w:val="3B2A1E"/>
        </w:rPr>
        <w:t xml:space="preserve">Asia y África, siglos XV al XXI: </w:t>
      </w:r>
      <w:r>
        <w:rPr>
          <w:color w:val="2A2018"/>
        </w:rPr>
        <w:t>domin</w:t>
      </w:r>
      <w:r>
        <w:rPr>
          <w:color w:val="2A2018"/>
        </w:rPr>
        <w:t>ación imperial, descolonización, neocolonialismo y resistencias contemporáneas.</w:t>
      </w:r>
    </w:p>
    <w:p w14:paraId="6D88784A"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d)  </w:t>
      </w:r>
      <w:r>
        <w:rPr>
          <w:b/>
          <w:bCs/>
          <w:i/>
          <w:iCs/>
          <w:color w:val="3B2A1E"/>
        </w:rPr>
        <w:t xml:space="preserve">Asia Oriental y el Sudeste Asiático: </w:t>
      </w:r>
      <w:r>
        <w:rPr>
          <w:color w:val="2A2018"/>
        </w:rPr>
        <w:t>China, Japón, Corea y Vietnam, de las tradiciones imperiales a la Nueva Ruta de la Seda.</w:t>
      </w:r>
    </w:p>
    <w:p w14:paraId="277B9084"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e)  </w:t>
      </w:r>
      <w:r>
        <w:rPr>
          <w:b/>
          <w:bCs/>
          <w:i/>
          <w:iCs/>
          <w:color w:val="3B2A1E"/>
        </w:rPr>
        <w:t xml:space="preserve">Asia y África en nuestra vida cotidiana: </w:t>
      </w:r>
      <w:r>
        <w:rPr>
          <w:color w:val="2A2018"/>
        </w:rPr>
        <w:t>m</w:t>
      </w:r>
      <w:r>
        <w:rPr>
          <w:color w:val="2A2018"/>
        </w:rPr>
        <w:t>igraciones, diásporas, gastronomía y lengua, frente a estereotipos, prejuicios y discriminación en la sociedad argentina.</w:t>
      </w:r>
    </w:p>
    <w:p w14:paraId="4A63E581"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f)  </w:t>
      </w:r>
      <w:r>
        <w:rPr>
          <w:b/>
          <w:bCs/>
          <w:i/>
          <w:iCs/>
          <w:color w:val="3B2A1E"/>
        </w:rPr>
        <w:t xml:space="preserve">Asia y África en la cultura global: </w:t>
      </w:r>
      <w:r>
        <w:rPr>
          <w:color w:val="2A2018"/>
        </w:rPr>
        <w:t>literatura, arte, cine, música, manga, animé y cultura pop como poder blando.</w:t>
      </w:r>
    </w:p>
    <w:p w14:paraId="75685FA0"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g)  </w:t>
      </w:r>
      <w:r>
        <w:rPr>
          <w:b/>
          <w:bCs/>
          <w:i/>
          <w:iCs/>
          <w:color w:val="3B2A1E"/>
        </w:rPr>
        <w:t xml:space="preserve">Asia y África en el orden multipolar emergente: </w:t>
      </w:r>
      <w:r>
        <w:rPr>
          <w:color w:val="2A2018"/>
        </w:rPr>
        <w:t xml:space="preserve">configuraciones de poder y conflictos contemporáneos (Palestina e Israel, Siria, Irak, Yemen, la cuestión kurda, Irán, Afganistán, Sudán, el </w:t>
      </w:r>
      <w:proofErr w:type="spellStart"/>
      <w:r>
        <w:rPr>
          <w:color w:val="2A2018"/>
        </w:rPr>
        <w:t>Sahel</w:t>
      </w:r>
      <w:proofErr w:type="spellEnd"/>
      <w:r>
        <w:rPr>
          <w:color w:val="2A2018"/>
        </w:rPr>
        <w:t>, el Congo, Myanmar, Taiwán, etc.).</w:t>
      </w:r>
    </w:p>
    <w:p w14:paraId="40296E31"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h)  </w:t>
      </w:r>
      <w:r>
        <w:rPr>
          <w:b/>
          <w:bCs/>
          <w:i/>
          <w:iCs/>
          <w:color w:val="3B2A1E"/>
        </w:rPr>
        <w:t>Religiones, espiritual</w:t>
      </w:r>
      <w:r>
        <w:rPr>
          <w:b/>
          <w:bCs/>
          <w:i/>
          <w:iCs/>
          <w:color w:val="3B2A1E"/>
        </w:rPr>
        <w:t xml:space="preserve">idades y filosofías de Asia y África: </w:t>
      </w:r>
      <w:r>
        <w:rPr>
          <w:color w:val="2A2018"/>
        </w:rPr>
        <w:t>islam, judaísmo, hinduismo, budismo, taoísmo, confucianismo, sintoísmo, religiones tradicionales africanas, etc.; diálogo interreligioso.</w:t>
      </w:r>
    </w:p>
    <w:p w14:paraId="10752B64"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i)  </w:t>
      </w:r>
      <w:r>
        <w:rPr>
          <w:b/>
          <w:bCs/>
          <w:i/>
          <w:iCs/>
          <w:color w:val="3B2A1E"/>
        </w:rPr>
        <w:t xml:space="preserve">Mujeres en las sociedades de Asia y África: </w:t>
      </w:r>
      <w:r>
        <w:rPr>
          <w:color w:val="2A2018"/>
        </w:rPr>
        <w:t>perspectivas históricas y contem</w:t>
      </w:r>
      <w:r>
        <w:rPr>
          <w:color w:val="2A2018"/>
        </w:rPr>
        <w:t>poráneas, feminismos y movimientos de diversidad.</w:t>
      </w:r>
    </w:p>
    <w:p w14:paraId="7A0E49C8"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j)  </w:t>
      </w:r>
      <w:r>
        <w:rPr>
          <w:b/>
          <w:bCs/>
          <w:i/>
          <w:iCs/>
          <w:color w:val="3B2A1E"/>
        </w:rPr>
        <w:t xml:space="preserve">Ciencia, tecnología e innovación en Asia y África: </w:t>
      </w:r>
      <w:r>
        <w:rPr>
          <w:color w:val="2A2018"/>
        </w:rPr>
        <w:t>de la ciencia islámica medieval a los polos digitales africanos, la inteligencia artificial y la geopolítica tecnológica.</w:t>
      </w:r>
    </w:p>
    <w:p w14:paraId="11316F2D"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k)  </w:t>
      </w:r>
      <w:r>
        <w:rPr>
          <w:b/>
          <w:bCs/>
          <w:i/>
          <w:iCs/>
          <w:color w:val="3B2A1E"/>
        </w:rPr>
        <w:t>Ecología, territorio y re</w:t>
      </w:r>
      <w:r>
        <w:rPr>
          <w:b/>
          <w:bCs/>
          <w:i/>
          <w:iCs/>
          <w:color w:val="3B2A1E"/>
        </w:rPr>
        <w:t xml:space="preserve">cursos naturales en Asia y África: </w:t>
      </w:r>
      <w:proofErr w:type="spellStart"/>
      <w:r>
        <w:rPr>
          <w:color w:val="2A2018"/>
        </w:rPr>
        <w:t>extractivismo</w:t>
      </w:r>
      <w:proofErr w:type="spellEnd"/>
      <w:r>
        <w:rPr>
          <w:color w:val="2A2018"/>
        </w:rPr>
        <w:t>, crisis climática y disputas por el agua y la tierra.</w:t>
      </w:r>
    </w:p>
    <w:p w14:paraId="3082CC05"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l)  </w:t>
      </w:r>
      <w:r>
        <w:rPr>
          <w:b/>
          <w:bCs/>
          <w:i/>
          <w:iCs/>
          <w:color w:val="3B2A1E"/>
        </w:rPr>
        <w:t xml:space="preserve">Noveles investigadores: </w:t>
      </w:r>
      <w:r>
        <w:rPr>
          <w:color w:val="2A2018"/>
        </w:rPr>
        <w:t xml:space="preserve">espacio para estudiantes avanzados, </w:t>
      </w:r>
      <w:proofErr w:type="spellStart"/>
      <w:r>
        <w:rPr>
          <w:color w:val="2A2018"/>
        </w:rPr>
        <w:t>tesistas</w:t>
      </w:r>
      <w:proofErr w:type="spellEnd"/>
      <w:r>
        <w:rPr>
          <w:color w:val="2A2018"/>
        </w:rPr>
        <w:t>, becarios y primeras investigaciones sobre Asia y África.</w:t>
      </w:r>
    </w:p>
    <w:p w14:paraId="24D997E9" w14:textId="77777777" w:rsidR="00F3351E" w:rsidRDefault="002D2D56">
      <w:pPr>
        <w:spacing w:after="150" w:line="290" w:lineRule="auto"/>
        <w:ind w:left="260" w:hanging="260"/>
        <w:jc w:val="both"/>
      </w:pPr>
      <w:r>
        <w:rPr>
          <w:rFonts w:ascii="Georgia" w:eastAsia="Georgia" w:hAnsi="Georgia" w:cs="Georgia"/>
          <w:b/>
          <w:bCs/>
          <w:color w:val="A85C32"/>
          <w:sz w:val="22"/>
          <w:szCs w:val="22"/>
        </w:rPr>
        <w:t xml:space="preserve">m)  </w:t>
      </w:r>
      <w:r>
        <w:rPr>
          <w:b/>
          <w:bCs/>
          <w:i/>
          <w:iCs/>
          <w:color w:val="3B2A1E"/>
        </w:rPr>
        <w:t>Asia y África en e</w:t>
      </w:r>
      <w:r>
        <w:rPr>
          <w:b/>
          <w:bCs/>
          <w:i/>
          <w:iCs/>
          <w:color w:val="3B2A1E"/>
        </w:rPr>
        <w:t xml:space="preserve">l aula: </w:t>
      </w:r>
      <w:r>
        <w:rPr>
          <w:color w:val="2A2018"/>
        </w:rPr>
        <w:t>experiencias y proyectos de docentes de nivel medio y terciario con sus alumnos, desde la historia, la literatura, el arte, la psicología y la sociología.</w:t>
      </w:r>
    </w:p>
    <w:p w14:paraId="4AA5930C" w14:textId="77777777" w:rsidR="00BB7F83" w:rsidRDefault="002B7725">
      <w:r>
        <w:br w:type="page"/>
      </w:r>
    </w:p>
    <w:p w14:paraId="4D06FF30"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lastRenderedPageBreak/>
        <w:t>OBJETIVOS DEL CONGRESO</w:t>
      </w:r>
    </w:p>
    <w:p w14:paraId="2078A763" w14:textId="77777777" w:rsidR="00BB7F83" w:rsidRDefault="002B7725">
      <w:pPr>
        <w:spacing w:before="240" w:after="100"/>
      </w:pPr>
      <w:r>
        <w:rPr>
          <w:rFonts w:ascii="Georgia" w:eastAsia="Georgia" w:hAnsi="Georgia" w:cs="Georgia"/>
          <w:b/>
          <w:bCs/>
          <w:color w:val="A85C32"/>
          <w:sz w:val="23"/>
          <w:szCs w:val="23"/>
        </w:rPr>
        <w:t>Objetivos generales</w:t>
      </w:r>
    </w:p>
    <w:p w14:paraId="4FBA375D" w14:textId="77777777" w:rsidR="00BB7F83" w:rsidRDefault="002B7725">
      <w:pPr>
        <w:spacing w:after="90"/>
        <w:ind w:left="340" w:hanging="220"/>
      </w:pPr>
      <w:r>
        <w:rPr>
          <w:b/>
          <w:bCs/>
          <w:color w:val="8C6C1F"/>
        </w:rPr>
        <w:t xml:space="preserve">❖  </w:t>
      </w:r>
      <w:r>
        <w:rPr>
          <w:color w:val="2A2018"/>
        </w:rPr>
        <w:t>Comprender y analizar relaciones de dominación-subordinación, inclusión-integración y pluralismo (des)</w:t>
      </w:r>
      <w:proofErr w:type="spellStart"/>
      <w:r>
        <w:rPr>
          <w:color w:val="2A2018"/>
        </w:rPr>
        <w:t>colonizante</w:t>
      </w:r>
      <w:proofErr w:type="spellEnd"/>
      <w:r>
        <w:rPr>
          <w:color w:val="2A2018"/>
        </w:rPr>
        <w:t xml:space="preserve"> entre Oriente, África y Occidente, desde la Antigüedad hasta la contemporaneidad.</w:t>
      </w:r>
    </w:p>
    <w:p w14:paraId="35EABFAE" w14:textId="77777777" w:rsidR="00BB7F83" w:rsidRDefault="002B7725">
      <w:pPr>
        <w:spacing w:after="90"/>
        <w:ind w:left="340" w:hanging="220"/>
      </w:pPr>
      <w:r>
        <w:rPr>
          <w:b/>
          <w:bCs/>
          <w:color w:val="8C6C1F"/>
        </w:rPr>
        <w:t xml:space="preserve">❖  </w:t>
      </w:r>
      <w:r>
        <w:rPr>
          <w:color w:val="2A2018"/>
        </w:rPr>
        <w:t>Generar un espacio académico de producción, actualización y prospectiva crítica sobre las sociedades, culturas, religiones, filosofías y geopolíticas orientales y africanas en el contexto del mundo multipolar del siglo XXI.</w:t>
      </w:r>
    </w:p>
    <w:p w14:paraId="09C84856" w14:textId="77777777" w:rsidR="00BB7F83" w:rsidRDefault="002B7725">
      <w:pPr>
        <w:spacing w:before="240" w:after="100"/>
      </w:pPr>
      <w:r>
        <w:rPr>
          <w:rFonts w:ascii="Georgia" w:eastAsia="Georgia" w:hAnsi="Georgia" w:cs="Georgia"/>
          <w:b/>
          <w:bCs/>
          <w:color w:val="A85C32"/>
          <w:sz w:val="23"/>
          <w:szCs w:val="23"/>
        </w:rPr>
        <w:t>Objetivos específicos</w:t>
      </w:r>
    </w:p>
    <w:p w14:paraId="638BC1B7" w14:textId="77777777" w:rsidR="00BB7F83" w:rsidRDefault="002B7725">
      <w:pPr>
        <w:spacing w:after="90"/>
        <w:ind w:left="340" w:hanging="220"/>
      </w:pPr>
      <w:r>
        <w:rPr>
          <w:b/>
          <w:bCs/>
          <w:color w:val="8C6C1F"/>
        </w:rPr>
        <w:t xml:space="preserve">❖  </w:t>
      </w:r>
      <w:r>
        <w:rPr>
          <w:color w:val="2A2018"/>
        </w:rPr>
        <w:t>Trasladar los resultados de investigación hacia la docencia y la extensión universitaria.</w:t>
      </w:r>
    </w:p>
    <w:p w14:paraId="03936559" w14:textId="77777777" w:rsidR="00BB7F83" w:rsidRDefault="002B7725">
      <w:pPr>
        <w:spacing w:after="90"/>
        <w:ind w:left="340" w:hanging="220"/>
      </w:pPr>
      <w:r>
        <w:rPr>
          <w:b/>
          <w:bCs/>
          <w:color w:val="8C6C1F"/>
        </w:rPr>
        <w:t xml:space="preserve">❖  </w:t>
      </w:r>
      <w:r>
        <w:rPr>
          <w:color w:val="2A2018"/>
        </w:rPr>
        <w:t>Abrir un espacio de participación para docentes de nivel medio y terciario que comuniquen experiencias de enseñanza sobre Asia y África desarrolladas con sus alumnos.</w:t>
      </w:r>
    </w:p>
    <w:p w14:paraId="48A3AEF8" w14:textId="77777777" w:rsidR="00BB7F83" w:rsidRDefault="002B7725">
      <w:pPr>
        <w:spacing w:after="90"/>
        <w:ind w:left="340" w:hanging="220"/>
      </w:pPr>
      <w:r>
        <w:rPr>
          <w:b/>
          <w:bCs/>
          <w:color w:val="8C6C1F"/>
        </w:rPr>
        <w:t xml:space="preserve">❖  </w:t>
      </w:r>
      <w:r>
        <w:rPr>
          <w:color w:val="2A2018"/>
        </w:rPr>
        <w:t>Promover el intercambio de prácticas de conocimiento entre investigadores formados, noveles investigadores, creadores, docentes y estudiantes avanzados.</w:t>
      </w:r>
    </w:p>
    <w:p w14:paraId="4A7C3D4E" w14:textId="77777777" w:rsidR="00BB7F83" w:rsidRDefault="002B7725">
      <w:pPr>
        <w:spacing w:after="90"/>
        <w:ind w:left="340" w:hanging="220"/>
      </w:pPr>
      <w:r>
        <w:rPr>
          <w:b/>
          <w:bCs/>
          <w:color w:val="8C6C1F"/>
        </w:rPr>
        <w:t xml:space="preserve">❖  </w:t>
      </w:r>
      <w:r>
        <w:rPr>
          <w:color w:val="2A2018"/>
        </w:rPr>
        <w:t>Fomentar la producción interdisciplinaria que articule historia, filosofía, ciencias políticas, arte y tecnología.</w:t>
      </w:r>
    </w:p>
    <w:p w14:paraId="1B48B1AE" w14:textId="77777777" w:rsidR="00BB7F83" w:rsidRDefault="002B7725">
      <w:pPr>
        <w:spacing w:after="90"/>
        <w:ind w:left="340" w:hanging="220"/>
      </w:pPr>
      <w:r>
        <w:rPr>
          <w:b/>
          <w:bCs/>
          <w:color w:val="8C6C1F"/>
        </w:rPr>
        <w:t xml:space="preserve">❖  </w:t>
      </w:r>
      <w:r>
        <w:rPr>
          <w:color w:val="2A2018"/>
        </w:rPr>
        <w:t>Fortalecer redes de cooperación Sur-Sur con investigadores y estudiantes de países de Oriente y África.</w:t>
      </w:r>
    </w:p>
    <w:p w14:paraId="4ED5199B" w14:textId="77777777" w:rsidR="00BB7F83" w:rsidRDefault="002B7725">
      <w:pPr>
        <w:spacing w:after="90"/>
        <w:ind w:left="340" w:hanging="220"/>
      </w:pPr>
      <w:r>
        <w:rPr>
          <w:b/>
          <w:bCs/>
          <w:color w:val="8C6C1F"/>
        </w:rPr>
        <w:t xml:space="preserve">❖  </w:t>
      </w:r>
      <w:r>
        <w:rPr>
          <w:color w:val="2A2018"/>
        </w:rPr>
        <w:t xml:space="preserve">Incorporar la perspectiva de género y diversidad, evitando esencialismos orientalistas y </w:t>
      </w:r>
      <w:proofErr w:type="spellStart"/>
      <w:r>
        <w:rPr>
          <w:color w:val="2A2018"/>
        </w:rPr>
        <w:t>afrocéntricos</w:t>
      </w:r>
      <w:proofErr w:type="spellEnd"/>
      <w:r>
        <w:rPr>
          <w:color w:val="2A2018"/>
        </w:rPr>
        <w:t>.</w:t>
      </w:r>
    </w:p>
    <w:p w14:paraId="60442E64"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LENGUAS DEL CONGRESO</w:t>
      </w:r>
    </w:p>
    <w:p w14:paraId="32B49F6D" w14:textId="77777777" w:rsidR="00BB7F83" w:rsidRDefault="002B7725">
      <w:pPr>
        <w:spacing w:after="160" w:line="300" w:lineRule="auto"/>
        <w:jc w:val="both"/>
      </w:pPr>
      <w:r>
        <w:rPr>
          <w:color w:val="2A2018"/>
        </w:rPr>
        <w:t>Español, inglés, francés y portugués. Para trabajos en otras lenguas (árabe, chino, japonés, swahili, etc.) se solicita adjuntar traducción al español.</w:t>
      </w:r>
    </w:p>
    <w:p w14:paraId="5654DE0E"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DESTINATARIOS</w:t>
      </w:r>
    </w:p>
    <w:p w14:paraId="10D7A78A" w14:textId="77777777" w:rsidR="00BB7F83" w:rsidRDefault="002B7725">
      <w:pPr>
        <w:spacing w:after="90"/>
        <w:ind w:left="340" w:hanging="220"/>
      </w:pPr>
      <w:r>
        <w:rPr>
          <w:b/>
          <w:bCs/>
          <w:color w:val="8C6C1F"/>
        </w:rPr>
        <w:t xml:space="preserve">❖  </w:t>
      </w:r>
      <w:r>
        <w:rPr>
          <w:color w:val="2A2018"/>
        </w:rPr>
        <w:t>Docentes de nivel secundario, terciario y universitario.</w:t>
      </w:r>
    </w:p>
    <w:p w14:paraId="3C43148D" w14:textId="77777777" w:rsidR="00BB7F83" w:rsidRDefault="002B7725">
      <w:pPr>
        <w:spacing w:after="90"/>
        <w:ind w:left="340" w:hanging="220"/>
      </w:pPr>
      <w:r>
        <w:rPr>
          <w:b/>
          <w:bCs/>
          <w:color w:val="8C6C1F"/>
        </w:rPr>
        <w:t xml:space="preserve">❖  </w:t>
      </w:r>
      <w:r>
        <w:rPr>
          <w:color w:val="2A2018"/>
        </w:rPr>
        <w:t>Investigadores con proyectos acreditados o independientes, nacionales e internacionales.</w:t>
      </w:r>
    </w:p>
    <w:p w14:paraId="747840A2" w14:textId="77777777" w:rsidR="00BB7F83" w:rsidRDefault="002B7725">
      <w:pPr>
        <w:spacing w:after="90"/>
        <w:ind w:left="340" w:hanging="220"/>
      </w:pPr>
      <w:r>
        <w:rPr>
          <w:b/>
          <w:bCs/>
          <w:color w:val="8C6C1F"/>
        </w:rPr>
        <w:t xml:space="preserve">❖  </w:t>
      </w:r>
      <w:r>
        <w:rPr>
          <w:color w:val="2A2018"/>
        </w:rPr>
        <w:t xml:space="preserve">Graduados, </w:t>
      </w:r>
      <w:proofErr w:type="spellStart"/>
      <w:r>
        <w:rPr>
          <w:color w:val="2A2018"/>
        </w:rPr>
        <w:t>tesistas</w:t>
      </w:r>
      <w:proofErr w:type="spellEnd"/>
      <w:r>
        <w:rPr>
          <w:color w:val="2A2018"/>
        </w:rPr>
        <w:t>, becarios y estudiantes avanzados.</w:t>
      </w:r>
    </w:p>
    <w:p w14:paraId="445477C5" w14:textId="77777777" w:rsidR="00BB7F83" w:rsidRDefault="002B7725">
      <w:pPr>
        <w:spacing w:after="90"/>
        <w:ind w:left="340" w:hanging="220"/>
      </w:pPr>
      <w:r>
        <w:rPr>
          <w:b/>
          <w:bCs/>
          <w:color w:val="8C6C1F"/>
        </w:rPr>
        <w:t xml:space="preserve">❖  </w:t>
      </w:r>
      <w:r>
        <w:rPr>
          <w:color w:val="2A2018"/>
        </w:rPr>
        <w:t>Público en general interesado en los estudios sobre Oriente y África.</w:t>
      </w:r>
    </w:p>
    <w:p w14:paraId="77839036" w14:textId="77777777" w:rsidR="00BB7F83" w:rsidRDefault="002B7725">
      <w:pPr>
        <w:spacing w:after="90"/>
        <w:ind w:left="340" w:hanging="220"/>
      </w:pPr>
      <w:r>
        <w:rPr>
          <w:b/>
          <w:bCs/>
          <w:color w:val="8C6C1F"/>
        </w:rPr>
        <w:t xml:space="preserve">❖  </w:t>
      </w:r>
      <w:r>
        <w:rPr>
          <w:color w:val="2A2018"/>
        </w:rPr>
        <w:t>Organizaciones de la sociedad civil vinculadas a comunidades de origen oriental y africano.</w:t>
      </w:r>
    </w:p>
    <w:p w14:paraId="0D406B0B" w14:textId="77777777" w:rsidR="00BB7F83" w:rsidRDefault="002B7725">
      <w:r>
        <w:br w:type="page"/>
      </w:r>
    </w:p>
    <w:p w14:paraId="7B574F8C"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lastRenderedPageBreak/>
        <w:t>MODALIDADES DE INTERVENCIÓN</w:t>
      </w:r>
    </w:p>
    <w:tbl>
      <w:tblPr>
        <w:tblW w:w="5000" w:type="pct"/>
        <w:tblBorders>
          <w:top w:val="single" w:sz="4" w:space="0" w:color="B7922E"/>
          <w:left w:val="single" w:sz="4" w:space="0" w:color="B7922E"/>
          <w:bottom w:val="single" w:sz="4" w:space="0" w:color="B7922E"/>
          <w:right w:val="single" w:sz="4" w:space="0" w:color="B7922E"/>
          <w:insideV w:val="single" w:sz="4" w:space="0" w:color="B7922E"/>
        </w:tblBorders>
        <w:tblCellMar>
          <w:left w:w="10" w:type="dxa"/>
          <w:right w:w="10" w:type="dxa"/>
        </w:tblCellMar>
        <w:tblLook w:val="0000" w:firstRow="0" w:lastRow="0" w:firstColumn="0" w:lastColumn="0" w:noHBand="0" w:noVBand="0"/>
      </w:tblPr>
      <w:tblGrid>
        <w:gridCol w:w="5173"/>
        <w:gridCol w:w="5173"/>
      </w:tblGrid>
      <w:tr w:rsidR="00BB7F83" w14:paraId="1B12C7F3" w14:textId="77777777">
        <w:tc>
          <w:tcPr>
            <w:tcW w:w="2500" w:type="pct"/>
            <w:shd w:val="clear" w:color="auto" w:fill="F6EEDC"/>
            <w:tcMar>
              <w:top w:w="200" w:type="dxa"/>
              <w:left w:w="220" w:type="dxa"/>
              <w:bottom w:w="200" w:type="dxa"/>
              <w:right w:w="220" w:type="dxa"/>
            </w:tcMar>
          </w:tcPr>
          <w:p w14:paraId="5F93A3CB" w14:textId="77777777" w:rsidR="00BB7F83" w:rsidRDefault="002B7725">
            <w:pPr>
              <w:spacing w:after="120"/>
            </w:pPr>
            <w:r>
              <w:rPr>
                <w:rFonts w:ascii="Georgia" w:eastAsia="Georgia" w:hAnsi="Georgia" w:cs="Georgia"/>
                <w:b/>
                <w:bCs/>
                <w:color w:val="A85C32"/>
                <w:sz w:val="22"/>
                <w:szCs w:val="22"/>
              </w:rPr>
              <w:t>PRESENCIAL</w:t>
            </w:r>
          </w:p>
          <w:p w14:paraId="3DFF9F5A" w14:textId="77777777" w:rsidR="00BB7F83" w:rsidRDefault="002B7725">
            <w:pPr>
              <w:spacing w:after="80"/>
              <w:ind w:left="160" w:hanging="160"/>
            </w:pPr>
            <w:r>
              <w:rPr>
                <w:b/>
                <w:bCs/>
                <w:color w:val="8C6C1F"/>
                <w:sz w:val="20"/>
                <w:szCs w:val="20"/>
              </w:rPr>
              <w:t xml:space="preserve">❖  </w:t>
            </w:r>
            <w:r>
              <w:rPr>
                <w:color w:val="2A2018"/>
                <w:sz w:val="20"/>
                <w:szCs w:val="20"/>
              </w:rPr>
              <w:t>Conferencias plenarias</w:t>
            </w:r>
          </w:p>
          <w:p w14:paraId="12911C29" w14:textId="77777777" w:rsidR="00BB7F83" w:rsidRDefault="002B7725">
            <w:pPr>
              <w:spacing w:after="80"/>
              <w:ind w:left="160" w:hanging="160"/>
            </w:pPr>
            <w:r>
              <w:rPr>
                <w:b/>
                <w:bCs/>
                <w:color w:val="8C6C1F"/>
                <w:sz w:val="20"/>
                <w:szCs w:val="20"/>
              </w:rPr>
              <w:t xml:space="preserve">❖  </w:t>
            </w:r>
            <w:r>
              <w:rPr>
                <w:color w:val="2A2018"/>
                <w:sz w:val="20"/>
                <w:szCs w:val="20"/>
              </w:rPr>
              <w:t>Mesas de ponencias</w:t>
            </w:r>
          </w:p>
          <w:p w14:paraId="63F209EA" w14:textId="77777777" w:rsidR="00BB7F83" w:rsidRDefault="002B7725">
            <w:pPr>
              <w:spacing w:after="80"/>
              <w:ind w:left="160" w:hanging="160"/>
            </w:pPr>
            <w:r>
              <w:rPr>
                <w:b/>
                <w:bCs/>
                <w:color w:val="8C6C1F"/>
                <w:sz w:val="20"/>
                <w:szCs w:val="20"/>
              </w:rPr>
              <w:t xml:space="preserve">❖  </w:t>
            </w:r>
            <w:r>
              <w:rPr>
                <w:color w:val="2A2018"/>
                <w:sz w:val="20"/>
                <w:szCs w:val="20"/>
              </w:rPr>
              <w:t>Paneles interdisciplinarios</w:t>
            </w:r>
          </w:p>
          <w:p w14:paraId="5773389D" w14:textId="77777777" w:rsidR="00BB7F83" w:rsidRDefault="002B7725">
            <w:pPr>
              <w:spacing w:after="80"/>
              <w:ind w:left="160" w:hanging="160"/>
            </w:pPr>
            <w:r>
              <w:rPr>
                <w:b/>
                <w:bCs/>
                <w:color w:val="8C6C1F"/>
                <w:sz w:val="20"/>
                <w:szCs w:val="20"/>
              </w:rPr>
              <w:t xml:space="preserve">❖  </w:t>
            </w:r>
            <w:r>
              <w:rPr>
                <w:color w:val="2A2018"/>
                <w:sz w:val="20"/>
                <w:szCs w:val="20"/>
              </w:rPr>
              <w:t>Presentación de libros y publicaciones recientes</w:t>
            </w:r>
          </w:p>
          <w:p w14:paraId="7A4FBA5F" w14:textId="77777777" w:rsidR="00BB7F83" w:rsidRDefault="002B7725">
            <w:pPr>
              <w:spacing w:after="80"/>
              <w:ind w:left="160" w:hanging="160"/>
            </w:pPr>
            <w:r>
              <w:rPr>
                <w:b/>
                <w:bCs/>
                <w:color w:val="8C6C1F"/>
                <w:sz w:val="20"/>
                <w:szCs w:val="20"/>
              </w:rPr>
              <w:t xml:space="preserve">❖  </w:t>
            </w:r>
            <w:r>
              <w:rPr>
                <w:color w:val="2A2018"/>
                <w:sz w:val="20"/>
                <w:szCs w:val="20"/>
              </w:rPr>
              <w:t>Muestra cultural: fotografía, cartografía y arte vinculado a Oriente y África</w:t>
            </w:r>
          </w:p>
          <w:p w14:paraId="5FADB875" w14:textId="77777777" w:rsidR="00BB7F83" w:rsidRDefault="002B7725">
            <w:pPr>
              <w:spacing w:after="80"/>
              <w:ind w:left="160" w:hanging="160"/>
            </w:pPr>
            <w:r>
              <w:rPr>
                <w:b/>
                <w:bCs/>
                <w:color w:val="8C6C1F"/>
                <w:sz w:val="20"/>
                <w:szCs w:val="20"/>
              </w:rPr>
              <w:t xml:space="preserve">❖  </w:t>
            </w:r>
            <w:r>
              <w:rPr>
                <w:color w:val="2A2018"/>
                <w:sz w:val="20"/>
                <w:szCs w:val="20"/>
              </w:rPr>
              <w:t>Espacio de diálogo intercultural abierto a la comunidad</w:t>
            </w:r>
          </w:p>
        </w:tc>
        <w:tc>
          <w:tcPr>
            <w:tcW w:w="2500" w:type="pct"/>
            <w:shd w:val="clear" w:color="auto" w:fill="F6EEDC"/>
            <w:tcMar>
              <w:top w:w="200" w:type="dxa"/>
              <w:left w:w="220" w:type="dxa"/>
              <w:bottom w:w="200" w:type="dxa"/>
              <w:right w:w="220" w:type="dxa"/>
            </w:tcMar>
          </w:tcPr>
          <w:p w14:paraId="268A5AB7" w14:textId="77777777" w:rsidR="00BB7F83" w:rsidRDefault="002B7725">
            <w:pPr>
              <w:spacing w:after="120"/>
            </w:pPr>
            <w:r>
              <w:rPr>
                <w:rFonts w:ascii="Georgia" w:eastAsia="Georgia" w:hAnsi="Georgia" w:cs="Georgia"/>
                <w:b/>
                <w:bCs/>
                <w:color w:val="A85C32"/>
                <w:sz w:val="22"/>
                <w:szCs w:val="22"/>
              </w:rPr>
              <w:t>VIRTUAL</w:t>
            </w:r>
          </w:p>
          <w:p w14:paraId="24C6DBC6" w14:textId="77777777" w:rsidR="00BB7F83" w:rsidRDefault="002B7725">
            <w:pPr>
              <w:spacing w:after="80"/>
              <w:ind w:left="160" w:hanging="160"/>
            </w:pPr>
            <w:r>
              <w:rPr>
                <w:b/>
                <w:bCs/>
                <w:color w:val="8C6C1F"/>
                <w:sz w:val="20"/>
                <w:szCs w:val="20"/>
              </w:rPr>
              <w:t xml:space="preserve">❖  </w:t>
            </w:r>
            <w:r>
              <w:rPr>
                <w:color w:val="2A2018"/>
                <w:sz w:val="20"/>
                <w:szCs w:val="20"/>
              </w:rPr>
              <w:t>Teleconferencias a cargo de especialistas internacionales</w:t>
            </w:r>
          </w:p>
          <w:p w14:paraId="7BEA04BB" w14:textId="77777777" w:rsidR="00BB7F83" w:rsidRDefault="002B7725">
            <w:pPr>
              <w:spacing w:after="80"/>
              <w:ind w:left="160" w:hanging="160"/>
            </w:pPr>
            <w:r>
              <w:rPr>
                <w:b/>
                <w:bCs/>
                <w:color w:val="8C6C1F"/>
                <w:sz w:val="20"/>
                <w:szCs w:val="20"/>
              </w:rPr>
              <w:t xml:space="preserve">❖  </w:t>
            </w:r>
            <w:r>
              <w:rPr>
                <w:color w:val="2A2018"/>
                <w:sz w:val="20"/>
                <w:szCs w:val="20"/>
              </w:rPr>
              <w:t>Transmisión en vivo por plataforma institucional</w:t>
            </w:r>
          </w:p>
          <w:p w14:paraId="5BC476EA" w14:textId="77777777" w:rsidR="00BB7F83" w:rsidRDefault="002B7725">
            <w:pPr>
              <w:spacing w:after="80"/>
              <w:ind w:left="160" w:hanging="160"/>
            </w:pPr>
            <w:r>
              <w:rPr>
                <w:b/>
                <w:bCs/>
                <w:color w:val="8C6C1F"/>
                <w:sz w:val="20"/>
                <w:szCs w:val="20"/>
              </w:rPr>
              <w:t xml:space="preserve">❖  </w:t>
            </w:r>
            <w:r>
              <w:rPr>
                <w:color w:val="2A2018"/>
                <w:sz w:val="20"/>
                <w:szCs w:val="20"/>
              </w:rPr>
              <w:t>Participación de expositores internacionales vía videoconferencia</w:t>
            </w:r>
          </w:p>
        </w:tc>
      </w:tr>
    </w:tbl>
    <w:p w14:paraId="3A8D800E"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ORIENTACIONES PARA LA PRESENTACIÓN DE TRABAJOS</w:t>
      </w:r>
    </w:p>
    <w:p w14:paraId="61767D90" w14:textId="77777777" w:rsidR="00BB7F83" w:rsidRDefault="002B7725">
      <w:pPr>
        <w:spacing w:before="240" w:after="100"/>
      </w:pPr>
      <w:r>
        <w:rPr>
          <w:rFonts w:ascii="Georgia" w:eastAsia="Georgia" w:hAnsi="Georgia" w:cs="Georgia"/>
          <w:b/>
          <w:bCs/>
          <w:color w:val="A85C32"/>
          <w:sz w:val="23"/>
          <w:szCs w:val="23"/>
        </w:rPr>
        <w:t xml:space="preserve">Resumen / </w:t>
      </w:r>
      <w:proofErr w:type="spellStart"/>
      <w:r>
        <w:rPr>
          <w:rFonts w:ascii="Georgia" w:eastAsia="Georgia" w:hAnsi="Georgia" w:cs="Georgia"/>
          <w:b/>
          <w:bCs/>
          <w:color w:val="A85C32"/>
          <w:sz w:val="23"/>
          <w:szCs w:val="23"/>
        </w:rPr>
        <w:t>Abstract</w:t>
      </w:r>
      <w:proofErr w:type="spellEnd"/>
    </w:p>
    <w:p w14:paraId="19BBED68" w14:textId="77777777" w:rsidR="00BB7F83" w:rsidRDefault="002B7725">
      <w:pPr>
        <w:spacing w:after="160" w:line="300" w:lineRule="auto"/>
        <w:jc w:val="both"/>
      </w:pPr>
      <w:r>
        <w:rPr>
          <w:color w:val="2A2018"/>
        </w:rPr>
        <w:t xml:space="preserve">Extensión entre 150 y 250 palabras, indicando título, problema de investigación, objetivos, metodología y fuentes. Formato Word, Times New </w:t>
      </w:r>
      <w:proofErr w:type="spellStart"/>
      <w:r>
        <w:rPr>
          <w:color w:val="2A2018"/>
        </w:rPr>
        <w:t>Roman</w:t>
      </w:r>
      <w:proofErr w:type="spellEnd"/>
      <w:r>
        <w:rPr>
          <w:color w:val="2A2018"/>
        </w:rPr>
        <w:t xml:space="preserve"> 12, interlineado 1,5. Adjuntar de tres a cinco palabras clave e indicar el eje temático.</w:t>
      </w:r>
    </w:p>
    <w:p w14:paraId="598F7E6E" w14:textId="77777777" w:rsidR="00BB7F83" w:rsidRDefault="002B7725">
      <w:pPr>
        <w:spacing w:before="240" w:after="100"/>
      </w:pPr>
      <w:r>
        <w:rPr>
          <w:rFonts w:ascii="Georgia" w:eastAsia="Georgia" w:hAnsi="Georgia" w:cs="Georgia"/>
          <w:b/>
          <w:bCs/>
          <w:color w:val="A85C32"/>
          <w:sz w:val="23"/>
          <w:szCs w:val="23"/>
        </w:rPr>
        <w:t>Trabajo completo</w:t>
      </w:r>
    </w:p>
    <w:p w14:paraId="70F21F05" w14:textId="77777777" w:rsidR="00BB7F83" w:rsidRDefault="002B7725">
      <w:pPr>
        <w:spacing w:after="160" w:line="300" w:lineRule="auto"/>
        <w:jc w:val="both"/>
      </w:pPr>
      <w:r>
        <w:rPr>
          <w:color w:val="2A2018"/>
        </w:rPr>
        <w:t xml:space="preserve">Extensión mínima de 8 y máxima de 12 páginas, formato A4, interlineado 1,5, Times New </w:t>
      </w:r>
      <w:proofErr w:type="spellStart"/>
      <w:r>
        <w:rPr>
          <w:color w:val="2A2018"/>
        </w:rPr>
        <w:t>Roman</w:t>
      </w:r>
      <w:proofErr w:type="spellEnd"/>
      <w:r>
        <w:rPr>
          <w:color w:val="2A2018"/>
        </w:rPr>
        <w:t xml:space="preserve"> 12 (10 en notas), márgenes 2,5 cm. Título y subtítulos en negrita, sin cursiva ni mayúsculas sostenidas. Sangría latina al comienzo de cada párrafo. Páginas numeradas. Fuentes primarias y bibliografía al final. Sistema de citas APA </w:t>
      </w:r>
      <w:proofErr w:type="spellStart"/>
      <w:r>
        <w:rPr>
          <w:color w:val="2A2018"/>
        </w:rPr>
        <w:t>intratextual</w:t>
      </w:r>
      <w:proofErr w:type="spellEnd"/>
      <w:r>
        <w:rPr>
          <w:color w:val="2A2018"/>
        </w:rPr>
        <w:t xml:space="preserve"> (el instructivo completo se adjuntará en la segunda circular).</w:t>
      </w:r>
    </w:p>
    <w:p w14:paraId="139CF396" w14:textId="77777777" w:rsidR="00BB7F83" w:rsidRDefault="002B7725">
      <w:pPr>
        <w:spacing w:before="240" w:after="100"/>
      </w:pPr>
      <w:r>
        <w:rPr>
          <w:rFonts w:ascii="Georgia" w:eastAsia="Georgia" w:hAnsi="Georgia" w:cs="Georgia"/>
          <w:b/>
          <w:bCs/>
          <w:color w:val="A85C32"/>
          <w:sz w:val="23"/>
          <w:szCs w:val="23"/>
        </w:rPr>
        <w:t>Encabezado de trabajos</w:t>
      </w:r>
    </w:p>
    <w:p w14:paraId="07398335" w14:textId="77777777" w:rsidR="00BB7F83" w:rsidRDefault="002B7725">
      <w:pPr>
        <w:spacing w:after="160" w:line="300" w:lineRule="auto"/>
        <w:jc w:val="both"/>
      </w:pPr>
      <w:r>
        <w:rPr>
          <w:color w:val="2A2018"/>
        </w:rPr>
        <w:t>Filiación institucional, país de procedencia, correo electrónico, disciplina de formación, carácter de la participación (asistente/expositor) y eje temático en el que se inscribe el trabajo, con indicación de modalidad presencial o virtual.</w:t>
      </w:r>
    </w:p>
    <w:p w14:paraId="446B4732" w14:textId="77777777" w:rsidR="00BB7F83" w:rsidRDefault="002B7725">
      <w:pPr>
        <w:spacing w:before="240" w:after="100"/>
      </w:pPr>
      <w:r>
        <w:rPr>
          <w:rFonts w:ascii="Georgia" w:eastAsia="Georgia" w:hAnsi="Georgia" w:cs="Georgia"/>
          <w:b/>
          <w:bCs/>
          <w:color w:val="A85C32"/>
          <w:sz w:val="23"/>
          <w:szCs w:val="23"/>
        </w:rPr>
        <w:t>Paneles</w:t>
      </w:r>
    </w:p>
    <w:p w14:paraId="629712D1" w14:textId="77777777" w:rsidR="00BB7F83" w:rsidRDefault="002B7725">
      <w:pPr>
        <w:spacing w:after="160" w:line="300" w:lineRule="auto"/>
        <w:jc w:val="both"/>
      </w:pPr>
      <w:r>
        <w:rPr>
          <w:color w:val="2A2018"/>
        </w:rPr>
        <w:t>Quienes deseen organizar un panel (mínimo tres integrantes) podrán enviar título general, resumen y responsables, para su incorporación al programa en la segunda circular.</w:t>
      </w:r>
    </w:p>
    <w:p w14:paraId="58B9CAF8" w14:textId="77777777" w:rsidR="00BB7F83" w:rsidRDefault="002B7725">
      <w:pPr>
        <w:spacing w:before="240" w:after="100"/>
      </w:pPr>
      <w:r>
        <w:rPr>
          <w:rFonts w:ascii="Georgia" w:eastAsia="Georgia" w:hAnsi="Georgia" w:cs="Georgia"/>
          <w:b/>
          <w:bCs/>
          <w:color w:val="A85C32"/>
          <w:sz w:val="23"/>
          <w:szCs w:val="23"/>
        </w:rPr>
        <w:t>Publicación de Actas</w:t>
      </w:r>
    </w:p>
    <w:p w14:paraId="6AAC6D46" w14:textId="77777777" w:rsidR="00BB7F83" w:rsidRDefault="002B7725">
      <w:pPr>
        <w:spacing w:after="160" w:line="300" w:lineRule="auto"/>
        <w:jc w:val="both"/>
      </w:pPr>
      <w:r>
        <w:rPr>
          <w:color w:val="2A2018"/>
        </w:rPr>
        <w:t>Los trabajos completos aprobados serán publicados en Actas digitales con ISBN, con evaluación por pares doble ciego, disponibles en el repositorio institucional de la UNSJ y en la página web del GEIDO.</w:t>
      </w:r>
    </w:p>
    <w:p w14:paraId="73E906D2" w14:textId="77777777" w:rsidR="00BB7F83" w:rsidRDefault="002B7725">
      <w:r>
        <w:br w:type="page"/>
      </w:r>
    </w:p>
    <w:p w14:paraId="4DB791D0"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lastRenderedPageBreak/>
        <w:t>ARANCELES</w:t>
      </w:r>
    </w:p>
    <w:tbl>
      <w:tblPr>
        <w:tblW w:w="5000" w:type="pct"/>
        <w:tblBorders>
          <w:top w:val="single" w:sz="4" w:space="0" w:color="B7922E"/>
          <w:left w:val="single" w:sz="4" w:space="0" w:color="B7922E"/>
          <w:bottom w:val="single" w:sz="4" w:space="0" w:color="B7922E"/>
          <w:right w:val="single" w:sz="4" w:space="0" w:color="B7922E"/>
          <w:insideH w:val="single" w:sz="2" w:space="0" w:color="D8C9A3"/>
          <w:insideV w:val="single" w:sz="2" w:space="0" w:color="D8C9A3"/>
        </w:tblBorders>
        <w:tblCellMar>
          <w:left w:w="10" w:type="dxa"/>
          <w:right w:w="10" w:type="dxa"/>
        </w:tblCellMar>
        <w:tblLook w:val="0000" w:firstRow="0" w:lastRow="0" w:firstColumn="0" w:lastColumn="0" w:noHBand="0" w:noVBand="0"/>
      </w:tblPr>
      <w:tblGrid>
        <w:gridCol w:w="7697"/>
        <w:gridCol w:w="2529"/>
      </w:tblGrid>
      <w:tr w:rsidR="00BB7F83" w14:paraId="56AFDDFD" w14:textId="77777777">
        <w:trPr>
          <w:tblHeader/>
        </w:trPr>
        <w:tc>
          <w:tcPr>
            <w:tcW w:w="0" w:type="auto"/>
            <w:shd w:val="clear" w:color="auto" w:fill="A85C32"/>
            <w:tcMar>
              <w:top w:w="120" w:type="dxa"/>
              <w:left w:w="160" w:type="dxa"/>
              <w:bottom w:w="120" w:type="dxa"/>
              <w:right w:w="160" w:type="dxa"/>
            </w:tcMar>
            <w:vAlign w:val="center"/>
          </w:tcPr>
          <w:p w14:paraId="1661A538" w14:textId="77777777" w:rsidR="00BB7F83" w:rsidRDefault="002B7725">
            <w:pPr>
              <w:jc w:val="center"/>
            </w:pPr>
            <w:r>
              <w:rPr>
                <w:rFonts w:ascii="Georgia" w:eastAsia="Georgia" w:hAnsi="Georgia" w:cs="Georgia"/>
                <w:b/>
                <w:bCs/>
                <w:color w:val="FFFFFF"/>
                <w:sz w:val="20"/>
                <w:szCs w:val="20"/>
              </w:rPr>
              <w:t>Categoría</w:t>
            </w:r>
          </w:p>
        </w:tc>
        <w:tc>
          <w:tcPr>
            <w:tcW w:w="0" w:type="auto"/>
            <w:shd w:val="clear" w:color="auto" w:fill="A85C32"/>
            <w:tcMar>
              <w:top w:w="120" w:type="dxa"/>
              <w:left w:w="160" w:type="dxa"/>
              <w:bottom w:w="120" w:type="dxa"/>
              <w:right w:w="160" w:type="dxa"/>
            </w:tcMar>
            <w:vAlign w:val="center"/>
          </w:tcPr>
          <w:p w14:paraId="3B0C01DA" w14:textId="77777777" w:rsidR="00BB7F83" w:rsidRDefault="002B7725">
            <w:pPr>
              <w:jc w:val="center"/>
            </w:pPr>
            <w:r>
              <w:rPr>
                <w:rFonts w:ascii="Georgia" w:eastAsia="Georgia" w:hAnsi="Georgia" w:cs="Georgia"/>
                <w:b/>
                <w:bCs/>
                <w:color w:val="FFFFFF"/>
                <w:sz w:val="20"/>
                <w:szCs w:val="20"/>
              </w:rPr>
              <w:t>Arancel</w:t>
            </w:r>
          </w:p>
        </w:tc>
      </w:tr>
      <w:tr w:rsidR="00BB7F83" w14:paraId="7785C2D3" w14:textId="77777777">
        <w:tc>
          <w:tcPr>
            <w:tcW w:w="0" w:type="auto"/>
            <w:shd w:val="clear" w:color="auto" w:fill="F6EEDC"/>
            <w:tcMar>
              <w:top w:w="110" w:type="dxa"/>
              <w:left w:w="160" w:type="dxa"/>
              <w:bottom w:w="110" w:type="dxa"/>
              <w:right w:w="160" w:type="dxa"/>
            </w:tcMar>
            <w:vAlign w:val="center"/>
          </w:tcPr>
          <w:p w14:paraId="33E40BED" w14:textId="77777777" w:rsidR="00BB7F83" w:rsidRDefault="002B7725">
            <w:r>
              <w:rPr>
                <w:color w:val="2A2018"/>
                <w:sz w:val="20"/>
                <w:szCs w:val="20"/>
              </w:rPr>
              <w:t>Expositores</w:t>
            </w:r>
          </w:p>
        </w:tc>
        <w:tc>
          <w:tcPr>
            <w:tcW w:w="0" w:type="auto"/>
            <w:shd w:val="clear" w:color="auto" w:fill="F6EEDC"/>
            <w:tcMar>
              <w:top w:w="110" w:type="dxa"/>
              <w:left w:w="160" w:type="dxa"/>
              <w:bottom w:w="110" w:type="dxa"/>
              <w:right w:w="160" w:type="dxa"/>
            </w:tcMar>
            <w:vAlign w:val="center"/>
          </w:tcPr>
          <w:p w14:paraId="4EAA54D8" w14:textId="77777777" w:rsidR="00BB7F83" w:rsidRDefault="002B7725">
            <w:pPr>
              <w:jc w:val="center"/>
            </w:pPr>
            <w:r>
              <w:rPr>
                <w:b/>
                <w:bCs/>
                <w:color w:val="2A2018"/>
                <w:sz w:val="20"/>
                <w:szCs w:val="20"/>
              </w:rPr>
              <w:t>$ 70.000</w:t>
            </w:r>
          </w:p>
        </w:tc>
      </w:tr>
      <w:tr w:rsidR="00BB7F83" w14:paraId="2EF6C2A8" w14:textId="77777777">
        <w:tc>
          <w:tcPr>
            <w:tcW w:w="0" w:type="auto"/>
            <w:shd w:val="clear" w:color="auto" w:fill="FFFFFF"/>
            <w:tcMar>
              <w:top w:w="110" w:type="dxa"/>
              <w:left w:w="160" w:type="dxa"/>
              <w:bottom w:w="110" w:type="dxa"/>
              <w:right w:w="160" w:type="dxa"/>
            </w:tcMar>
            <w:vAlign w:val="center"/>
          </w:tcPr>
          <w:p w14:paraId="6190091E" w14:textId="77777777" w:rsidR="00BB7F83" w:rsidRDefault="002B7725">
            <w:r>
              <w:rPr>
                <w:color w:val="2A2018"/>
                <w:sz w:val="20"/>
                <w:szCs w:val="20"/>
              </w:rPr>
              <w:t>Asistentes</w:t>
            </w:r>
          </w:p>
        </w:tc>
        <w:tc>
          <w:tcPr>
            <w:tcW w:w="0" w:type="auto"/>
            <w:shd w:val="clear" w:color="auto" w:fill="FFFFFF"/>
            <w:tcMar>
              <w:top w:w="110" w:type="dxa"/>
              <w:left w:w="160" w:type="dxa"/>
              <w:bottom w:w="110" w:type="dxa"/>
              <w:right w:w="160" w:type="dxa"/>
            </w:tcMar>
            <w:vAlign w:val="center"/>
          </w:tcPr>
          <w:p w14:paraId="6DBAB676" w14:textId="77777777" w:rsidR="00BB7F83" w:rsidRDefault="002B7725">
            <w:pPr>
              <w:jc w:val="center"/>
            </w:pPr>
            <w:r>
              <w:rPr>
                <w:b/>
                <w:bCs/>
                <w:color w:val="2A2018"/>
                <w:sz w:val="20"/>
                <w:szCs w:val="20"/>
              </w:rPr>
              <w:t>$ 50.000</w:t>
            </w:r>
          </w:p>
        </w:tc>
      </w:tr>
      <w:tr w:rsidR="00BB7F83" w14:paraId="249BC0C5" w14:textId="77777777">
        <w:tc>
          <w:tcPr>
            <w:tcW w:w="0" w:type="auto"/>
            <w:shd w:val="clear" w:color="auto" w:fill="F6EEDC"/>
            <w:tcMar>
              <w:top w:w="110" w:type="dxa"/>
              <w:left w:w="160" w:type="dxa"/>
              <w:bottom w:w="110" w:type="dxa"/>
              <w:right w:w="160" w:type="dxa"/>
            </w:tcMar>
            <w:vAlign w:val="center"/>
          </w:tcPr>
          <w:p w14:paraId="4B966F30" w14:textId="77777777" w:rsidR="00BB7F83" w:rsidRDefault="002B7725">
            <w:r>
              <w:rPr>
                <w:color w:val="2A2018"/>
                <w:sz w:val="20"/>
                <w:szCs w:val="20"/>
              </w:rPr>
              <w:t>Estudiantes</w:t>
            </w:r>
          </w:p>
        </w:tc>
        <w:tc>
          <w:tcPr>
            <w:tcW w:w="0" w:type="auto"/>
            <w:shd w:val="clear" w:color="auto" w:fill="F6EEDC"/>
            <w:tcMar>
              <w:top w:w="110" w:type="dxa"/>
              <w:left w:w="160" w:type="dxa"/>
              <w:bottom w:w="110" w:type="dxa"/>
              <w:right w:w="160" w:type="dxa"/>
            </w:tcMar>
            <w:vAlign w:val="center"/>
          </w:tcPr>
          <w:p w14:paraId="65345B34" w14:textId="77777777" w:rsidR="00BB7F83" w:rsidRDefault="002B7725">
            <w:pPr>
              <w:jc w:val="center"/>
            </w:pPr>
            <w:r>
              <w:rPr>
                <w:b/>
                <w:bCs/>
                <w:color w:val="2A2018"/>
                <w:sz w:val="20"/>
                <w:szCs w:val="20"/>
              </w:rPr>
              <w:t>$ 20.000</w:t>
            </w:r>
          </w:p>
        </w:tc>
      </w:tr>
      <w:tr w:rsidR="00BB7F83" w14:paraId="56A15988" w14:textId="77777777">
        <w:tc>
          <w:tcPr>
            <w:tcW w:w="0" w:type="auto"/>
            <w:shd w:val="clear" w:color="auto" w:fill="FFFFFF"/>
            <w:tcMar>
              <w:top w:w="110" w:type="dxa"/>
              <w:left w:w="160" w:type="dxa"/>
              <w:bottom w:w="110" w:type="dxa"/>
              <w:right w:w="160" w:type="dxa"/>
            </w:tcMar>
            <w:vAlign w:val="center"/>
          </w:tcPr>
          <w:p w14:paraId="063F081B" w14:textId="77777777" w:rsidR="00BB7F83" w:rsidRDefault="002B7725">
            <w:r>
              <w:rPr>
                <w:color w:val="2A2018"/>
                <w:sz w:val="20"/>
                <w:szCs w:val="20"/>
              </w:rPr>
              <w:t>Expositores internacionales (virtuales)</w:t>
            </w:r>
          </w:p>
        </w:tc>
        <w:tc>
          <w:tcPr>
            <w:tcW w:w="0" w:type="auto"/>
            <w:shd w:val="clear" w:color="auto" w:fill="FFFFFF"/>
            <w:tcMar>
              <w:top w:w="110" w:type="dxa"/>
              <w:left w:w="160" w:type="dxa"/>
              <w:bottom w:w="110" w:type="dxa"/>
              <w:right w:w="160" w:type="dxa"/>
            </w:tcMar>
            <w:vAlign w:val="center"/>
          </w:tcPr>
          <w:p w14:paraId="3B26B2AD" w14:textId="77777777" w:rsidR="00BB7F83" w:rsidRDefault="002B7725">
            <w:pPr>
              <w:jc w:val="center"/>
            </w:pPr>
            <w:r>
              <w:rPr>
                <w:b/>
                <w:bCs/>
                <w:color w:val="2A2018"/>
                <w:sz w:val="20"/>
                <w:szCs w:val="20"/>
              </w:rPr>
              <w:t>U$S 50</w:t>
            </w:r>
          </w:p>
        </w:tc>
      </w:tr>
    </w:tbl>
    <w:p w14:paraId="06F4A993" w14:textId="77777777" w:rsidR="00BB7F83" w:rsidRDefault="002B7725">
      <w:pPr>
        <w:spacing w:before="100"/>
      </w:pPr>
      <w:r>
        <w:rPr>
          <w:i/>
          <w:iCs/>
          <w:color w:val="6B4A22"/>
          <w:sz w:val="17"/>
          <w:szCs w:val="17"/>
        </w:rPr>
        <w:t>Los aranceles se establecen con carácter orientativo y se encuentran sujetos a actualización.</w:t>
      </w:r>
    </w:p>
    <w:p w14:paraId="731A26D8"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CRONOGRAMA</w:t>
      </w:r>
    </w:p>
    <w:tbl>
      <w:tblPr>
        <w:tblW w:w="5000" w:type="pct"/>
        <w:tblBorders>
          <w:top w:val="single" w:sz="4" w:space="0" w:color="B7922E"/>
          <w:left w:val="single" w:sz="4" w:space="0" w:color="B7922E"/>
          <w:bottom w:val="single" w:sz="4" w:space="0" w:color="B7922E"/>
          <w:right w:val="single" w:sz="4" w:space="0" w:color="B7922E"/>
          <w:insideH w:val="single" w:sz="2" w:space="0" w:color="D8C9A3"/>
          <w:insideV w:val="single" w:sz="2" w:space="0" w:color="D8C9A3"/>
        </w:tblBorders>
        <w:tblCellMar>
          <w:left w:w="10" w:type="dxa"/>
          <w:right w:w="10" w:type="dxa"/>
        </w:tblCellMar>
        <w:tblLook w:val="0000" w:firstRow="0" w:lastRow="0" w:firstColumn="0" w:lastColumn="0" w:noHBand="0" w:noVBand="0"/>
      </w:tblPr>
      <w:tblGrid>
        <w:gridCol w:w="6210"/>
        <w:gridCol w:w="4016"/>
      </w:tblGrid>
      <w:tr w:rsidR="00BB7F83" w14:paraId="03C6A5BA" w14:textId="77777777">
        <w:trPr>
          <w:tblHeader/>
        </w:trPr>
        <w:tc>
          <w:tcPr>
            <w:tcW w:w="0" w:type="auto"/>
            <w:shd w:val="clear" w:color="auto" w:fill="A85C32"/>
            <w:tcMar>
              <w:top w:w="120" w:type="dxa"/>
              <w:left w:w="160" w:type="dxa"/>
              <w:bottom w:w="120" w:type="dxa"/>
              <w:right w:w="160" w:type="dxa"/>
            </w:tcMar>
            <w:vAlign w:val="center"/>
          </w:tcPr>
          <w:p w14:paraId="4D512062" w14:textId="77777777" w:rsidR="00BB7F83" w:rsidRDefault="002B7725">
            <w:pPr>
              <w:jc w:val="center"/>
            </w:pPr>
            <w:r>
              <w:rPr>
                <w:rFonts w:ascii="Georgia" w:eastAsia="Georgia" w:hAnsi="Georgia" w:cs="Georgia"/>
                <w:b/>
                <w:bCs/>
                <w:color w:val="FFFFFF"/>
                <w:sz w:val="20"/>
                <w:szCs w:val="20"/>
              </w:rPr>
              <w:t>Actividad</w:t>
            </w:r>
          </w:p>
        </w:tc>
        <w:tc>
          <w:tcPr>
            <w:tcW w:w="0" w:type="auto"/>
            <w:shd w:val="clear" w:color="auto" w:fill="A85C32"/>
            <w:tcMar>
              <w:top w:w="120" w:type="dxa"/>
              <w:left w:w="160" w:type="dxa"/>
              <w:bottom w:w="120" w:type="dxa"/>
              <w:right w:w="160" w:type="dxa"/>
            </w:tcMar>
            <w:vAlign w:val="center"/>
          </w:tcPr>
          <w:p w14:paraId="3C542971" w14:textId="77777777" w:rsidR="00BB7F83" w:rsidRDefault="002B7725">
            <w:pPr>
              <w:jc w:val="center"/>
            </w:pPr>
            <w:r>
              <w:rPr>
                <w:rFonts w:ascii="Georgia" w:eastAsia="Georgia" w:hAnsi="Georgia" w:cs="Georgia"/>
                <w:b/>
                <w:bCs/>
                <w:color w:val="FFFFFF"/>
                <w:sz w:val="20"/>
                <w:szCs w:val="20"/>
              </w:rPr>
              <w:t>Fecha</w:t>
            </w:r>
          </w:p>
        </w:tc>
      </w:tr>
      <w:tr w:rsidR="00BB7F83" w14:paraId="3C569AF4" w14:textId="77777777">
        <w:tc>
          <w:tcPr>
            <w:tcW w:w="0" w:type="auto"/>
            <w:shd w:val="clear" w:color="auto" w:fill="F6EEDC"/>
            <w:tcMar>
              <w:top w:w="110" w:type="dxa"/>
              <w:left w:w="160" w:type="dxa"/>
              <w:bottom w:w="110" w:type="dxa"/>
              <w:right w:w="160" w:type="dxa"/>
            </w:tcMar>
            <w:vAlign w:val="center"/>
          </w:tcPr>
          <w:p w14:paraId="76D08398" w14:textId="77777777" w:rsidR="00BB7F83" w:rsidRDefault="002B7725">
            <w:r>
              <w:rPr>
                <w:color w:val="2A2018"/>
                <w:sz w:val="20"/>
                <w:szCs w:val="20"/>
              </w:rPr>
              <w:t xml:space="preserve">Presentación de resúmenes / </w:t>
            </w:r>
            <w:proofErr w:type="spellStart"/>
            <w:r>
              <w:rPr>
                <w:color w:val="2A2018"/>
                <w:sz w:val="20"/>
                <w:szCs w:val="20"/>
              </w:rPr>
              <w:t>abstracts</w:t>
            </w:r>
            <w:proofErr w:type="spellEnd"/>
          </w:p>
        </w:tc>
        <w:tc>
          <w:tcPr>
            <w:tcW w:w="0" w:type="auto"/>
            <w:shd w:val="clear" w:color="auto" w:fill="F6EEDC"/>
            <w:tcMar>
              <w:top w:w="110" w:type="dxa"/>
              <w:left w:w="160" w:type="dxa"/>
              <w:bottom w:w="110" w:type="dxa"/>
              <w:right w:w="160" w:type="dxa"/>
            </w:tcMar>
            <w:vAlign w:val="center"/>
          </w:tcPr>
          <w:p w14:paraId="385552CF" w14:textId="77777777" w:rsidR="00BB7F83" w:rsidRDefault="002B7725">
            <w:pPr>
              <w:jc w:val="center"/>
            </w:pPr>
            <w:r>
              <w:rPr>
                <w:b/>
                <w:bCs/>
                <w:color w:val="2A2018"/>
                <w:sz w:val="20"/>
                <w:szCs w:val="20"/>
              </w:rPr>
              <w:t>A confirmar</w:t>
            </w:r>
          </w:p>
        </w:tc>
      </w:tr>
      <w:tr w:rsidR="00BB7F83" w14:paraId="172172AE" w14:textId="77777777">
        <w:tc>
          <w:tcPr>
            <w:tcW w:w="0" w:type="auto"/>
            <w:shd w:val="clear" w:color="auto" w:fill="FFFFFF"/>
            <w:tcMar>
              <w:top w:w="110" w:type="dxa"/>
              <w:left w:w="160" w:type="dxa"/>
              <w:bottom w:w="110" w:type="dxa"/>
              <w:right w:w="160" w:type="dxa"/>
            </w:tcMar>
            <w:vAlign w:val="center"/>
          </w:tcPr>
          <w:p w14:paraId="61834E9E" w14:textId="77777777" w:rsidR="00BB7F83" w:rsidRDefault="002B7725">
            <w:r>
              <w:rPr>
                <w:color w:val="2A2018"/>
                <w:sz w:val="20"/>
                <w:szCs w:val="20"/>
              </w:rPr>
              <w:t>Notificación de aceptación de resúmenes</w:t>
            </w:r>
          </w:p>
        </w:tc>
        <w:tc>
          <w:tcPr>
            <w:tcW w:w="0" w:type="auto"/>
            <w:shd w:val="clear" w:color="auto" w:fill="FFFFFF"/>
            <w:tcMar>
              <w:top w:w="110" w:type="dxa"/>
              <w:left w:w="160" w:type="dxa"/>
              <w:bottom w:w="110" w:type="dxa"/>
              <w:right w:w="160" w:type="dxa"/>
            </w:tcMar>
            <w:vAlign w:val="center"/>
          </w:tcPr>
          <w:p w14:paraId="056BE449" w14:textId="77777777" w:rsidR="00BB7F83" w:rsidRDefault="002B7725">
            <w:pPr>
              <w:jc w:val="center"/>
            </w:pPr>
            <w:r>
              <w:rPr>
                <w:b/>
                <w:bCs/>
                <w:color w:val="2A2018"/>
                <w:sz w:val="20"/>
                <w:szCs w:val="20"/>
              </w:rPr>
              <w:t>A confirmar</w:t>
            </w:r>
          </w:p>
        </w:tc>
      </w:tr>
      <w:tr w:rsidR="00BB7F83" w14:paraId="60968D55" w14:textId="77777777">
        <w:tc>
          <w:tcPr>
            <w:tcW w:w="0" w:type="auto"/>
            <w:shd w:val="clear" w:color="auto" w:fill="F6EEDC"/>
            <w:tcMar>
              <w:top w:w="110" w:type="dxa"/>
              <w:left w:w="160" w:type="dxa"/>
              <w:bottom w:w="110" w:type="dxa"/>
              <w:right w:w="160" w:type="dxa"/>
            </w:tcMar>
            <w:vAlign w:val="center"/>
          </w:tcPr>
          <w:p w14:paraId="79392C7D" w14:textId="77777777" w:rsidR="00BB7F83" w:rsidRDefault="002B7725">
            <w:r>
              <w:rPr>
                <w:color w:val="2A2018"/>
                <w:sz w:val="20"/>
                <w:szCs w:val="20"/>
              </w:rPr>
              <w:t>Presentación de trabajos completos</w:t>
            </w:r>
          </w:p>
        </w:tc>
        <w:tc>
          <w:tcPr>
            <w:tcW w:w="0" w:type="auto"/>
            <w:shd w:val="clear" w:color="auto" w:fill="F6EEDC"/>
            <w:tcMar>
              <w:top w:w="110" w:type="dxa"/>
              <w:left w:w="160" w:type="dxa"/>
              <w:bottom w:w="110" w:type="dxa"/>
              <w:right w:w="160" w:type="dxa"/>
            </w:tcMar>
            <w:vAlign w:val="center"/>
          </w:tcPr>
          <w:p w14:paraId="216CA8DB" w14:textId="77777777" w:rsidR="00BB7F83" w:rsidRDefault="002B7725">
            <w:pPr>
              <w:jc w:val="center"/>
            </w:pPr>
            <w:r>
              <w:rPr>
                <w:b/>
                <w:bCs/>
                <w:color w:val="2A2018"/>
                <w:sz w:val="20"/>
                <w:szCs w:val="20"/>
              </w:rPr>
              <w:t>A confirmar</w:t>
            </w:r>
          </w:p>
        </w:tc>
      </w:tr>
      <w:tr w:rsidR="00BB7F83" w14:paraId="0EE94597" w14:textId="77777777">
        <w:tc>
          <w:tcPr>
            <w:tcW w:w="0" w:type="auto"/>
            <w:shd w:val="clear" w:color="auto" w:fill="FFFFFF"/>
            <w:tcMar>
              <w:top w:w="110" w:type="dxa"/>
              <w:left w:w="160" w:type="dxa"/>
              <w:bottom w:w="110" w:type="dxa"/>
              <w:right w:w="160" w:type="dxa"/>
            </w:tcMar>
            <w:vAlign w:val="center"/>
          </w:tcPr>
          <w:p w14:paraId="0AB8E36D" w14:textId="77777777" w:rsidR="00BB7F83" w:rsidRDefault="002B7725">
            <w:r>
              <w:rPr>
                <w:color w:val="2A2018"/>
                <w:sz w:val="20"/>
                <w:szCs w:val="20"/>
              </w:rPr>
              <w:t>Realización del Congreso</w:t>
            </w:r>
          </w:p>
        </w:tc>
        <w:tc>
          <w:tcPr>
            <w:tcW w:w="0" w:type="auto"/>
            <w:shd w:val="clear" w:color="auto" w:fill="FFFFFF"/>
            <w:tcMar>
              <w:top w:w="110" w:type="dxa"/>
              <w:left w:w="160" w:type="dxa"/>
              <w:bottom w:w="110" w:type="dxa"/>
              <w:right w:w="160" w:type="dxa"/>
            </w:tcMar>
            <w:vAlign w:val="center"/>
          </w:tcPr>
          <w:p w14:paraId="71F99580" w14:textId="77777777" w:rsidR="00BB7F83" w:rsidRDefault="002B7725">
            <w:pPr>
              <w:jc w:val="center"/>
            </w:pPr>
            <w:r>
              <w:rPr>
                <w:b/>
                <w:bCs/>
                <w:color w:val="2A2018"/>
                <w:sz w:val="20"/>
                <w:szCs w:val="20"/>
              </w:rPr>
              <w:t>5, 6 y 7 de mayo de 2027</w:t>
            </w:r>
          </w:p>
        </w:tc>
      </w:tr>
    </w:tbl>
    <w:p w14:paraId="261F6F86" w14:textId="77777777" w:rsidR="00BB7F83" w:rsidRDefault="002B7725">
      <w:pPr>
        <w:pBdr>
          <w:top w:val="single" w:sz="4" w:space="0" w:color="B7922E"/>
          <w:bottom w:val="single" w:sz="4" w:space="0" w:color="B7922E"/>
        </w:pBdr>
        <w:shd w:val="clear" w:color="auto" w:fill="A85C32"/>
        <w:spacing w:before="320" w:after="200"/>
        <w:ind w:left="200" w:right="200"/>
      </w:pPr>
      <w:r>
        <w:rPr>
          <w:rFonts w:ascii="Georgia" w:eastAsia="Georgia" w:hAnsi="Georgia" w:cs="Georgia"/>
          <w:b/>
          <w:bCs/>
          <w:color w:val="FFFFFF"/>
          <w:spacing w:val="20"/>
          <w:sz w:val="26"/>
          <w:szCs w:val="26"/>
        </w:rPr>
        <w:t>INFORMES, CONSULTAS E INSCRIPCIONES</w:t>
      </w:r>
    </w:p>
    <w:p w14:paraId="1F062DF7" w14:textId="77777777" w:rsidR="00BB7F83" w:rsidRDefault="002B7725">
      <w:pPr>
        <w:spacing w:after="80"/>
        <w:jc w:val="center"/>
      </w:pPr>
      <w:r>
        <w:rPr>
          <w:b/>
          <w:bCs/>
          <w:color w:val="A85C32"/>
          <w:sz w:val="22"/>
          <w:szCs w:val="22"/>
        </w:rPr>
        <w:t>gabineteinvestigacionoriente@ffha.unsj.edu.ar</w:t>
      </w:r>
    </w:p>
    <w:p w14:paraId="4B1E1EBE" w14:textId="77777777" w:rsidR="00BB7F83" w:rsidRDefault="002B7725">
      <w:pPr>
        <w:spacing w:after="260"/>
        <w:jc w:val="center"/>
      </w:pPr>
      <w:r>
        <w:rPr>
          <w:color w:val="3B2A1E"/>
          <w:sz w:val="20"/>
          <w:szCs w:val="20"/>
        </w:rPr>
        <w:t>Contacto personal: cristian.espejorovelli@gmail.com</w:t>
      </w:r>
    </w:p>
    <w:p w14:paraId="5D8E39D6" w14:textId="77777777" w:rsidR="00BB7F83" w:rsidRDefault="002B7725">
      <w:pPr>
        <w:spacing w:before="100" w:after="260"/>
        <w:jc w:val="center"/>
      </w:pPr>
      <w:r>
        <w:rPr>
          <w:noProof/>
          <w:lang w:val="es-ES" w:eastAsia="es-ES"/>
        </w:rPr>
        <w:drawing>
          <wp:inline distT="0" distB="0" distL="0" distR="0" wp14:anchorId="44DF6E54" wp14:editId="44DF6E55">
            <wp:extent cx="2857500" cy="76200"/>
            <wp:effectExtent l="0" t="0" r="0" b="0"/>
            <wp:docPr id="45813336" name="Imagen 4581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0" cy="76200"/>
                    </a:xfrm>
                    <a:prstGeom prst="rect">
                      <a:avLst/>
                    </a:prstGeom>
                  </pic:spPr>
                </pic:pic>
              </a:graphicData>
            </a:graphic>
          </wp:inline>
        </w:drawing>
      </w:r>
    </w:p>
    <w:p w14:paraId="344DA647" w14:textId="77777777" w:rsidR="00BB7F83" w:rsidRDefault="00BB7F83">
      <w:pPr>
        <w:spacing w:before="200"/>
      </w:pPr>
    </w:p>
    <w:p w14:paraId="21F0BBF9" w14:textId="77777777" w:rsidR="000C36A9" w:rsidRPr="000C36A9" w:rsidRDefault="000C36A9" w:rsidP="000C36A9">
      <w:pPr>
        <w:spacing w:before="120" w:after="240"/>
        <w:jc w:val="center"/>
        <w:rPr>
          <w:rFonts w:ascii="Times New Roman" w:eastAsia="Times New Roman" w:hAnsi="Times New Roman" w:cs="Times New Roman"/>
          <w:sz w:val="20"/>
          <w:szCs w:val="20"/>
        </w:rPr>
      </w:pPr>
      <w:r>
        <w:rPr>
          <w:rFonts w:asciiTheme="majorHAnsi" w:eastAsia="Times New Roman" w:hAnsiTheme="majorHAnsi" w:cs="Times New Roman"/>
          <w:noProof/>
          <w:sz w:val="28"/>
          <w:szCs w:val="28"/>
          <w:lang w:val="es-ES" w:eastAsia="es-ES"/>
        </w:rPr>
        <mc:AlternateContent>
          <mc:Choice Requires="wps">
            <w:drawing>
              <wp:anchor distT="0" distB="0" distL="114300" distR="114300" simplePos="0" relativeHeight="251660288" behindDoc="0" locked="0" layoutInCell="1" allowOverlap="1" wp14:anchorId="3EE07EAD" wp14:editId="45687BFA">
                <wp:simplePos x="0" y="0"/>
                <wp:positionH relativeFrom="column">
                  <wp:posOffset>4704080</wp:posOffset>
                </wp:positionH>
                <wp:positionV relativeFrom="paragraph">
                  <wp:posOffset>232410</wp:posOffset>
                </wp:positionV>
                <wp:extent cx="1958340" cy="861060"/>
                <wp:effectExtent l="0" t="0" r="22860" b="15240"/>
                <wp:wrapNone/>
                <wp:docPr id="23353094" name="Cuadro de texto 7"/>
                <wp:cNvGraphicFramePr/>
                <a:graphic xmlns:a="http://schemas.openxmlformats.org/drawingml/2006/main">
                  <a:graphicData uri="http://schemas.microsoft.com/office/word/2010/wordprocessingShape">
                    <wps:wsp>
                      <wps:cNvSpPr txBox="1"/>
                      <wps:spPr>
                        <a:xfrm>
                          <a:off x="0" y="0"/>
                          <a:ext cx="1958340" cy="861060"/>
                        </a:xfrm>
                        <a:prstGeom prst="rect">
                          <a:avLst/>
                        </a:prstGeom>
                        <a:solidFill>
                          <a:sysClr val="window" lastClr="FFFFFF"/>
                        </a:solidFill>
                        <a:ln w="6350">
                          <a:solidFill>
                            <a:prstClr val="black"/>
                          </a:solidFill>
                        </a:ln>
                      </wps:spPr>
                      <wps:txbx>
                        <w:txbxContent>
                          <w:p w14:paraId="67FB382E" w14:textId="77777777" w:rsidR="000C36A9" w:rsidRPr="00765382" w:rsidRDefault="000C36A9" w:rsidP="000C36A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SECRETARÍA DE INVESTIGACION Y CREACIÓN</w:t>
                            </w:r>
                          </w:p>
                          <w:p w14:paraId="2BA732F3" w14:textId="77777777" w:rsidR="000C36A9" w:rsidRPr="00765382" w:rsidRDefault="000C36A9" w:rsidP="000C36A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FFHA- UNSJ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E07EAD" id="_x0000_t202" coordsize="21600,21600" o:spt="202" path="m,l,21600r21600,l21600,xe">
                <v:stroke joinstyle="miter"/>
                <v:path gradientshapeok="t" o:connecttype="rect"/>
              </v:shapetype>
              <v:shape id="Cuadro de texto 7" o:spid="_x0000_s1026" type="#_x0000_t202" style="position:absolute;left:0;text-align:left;margin-left:370.4pt;margin-top:18.3pt;width:154.2pt;height:6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dbYQAIAAI0EAAAOAAAAZHJzL2Uyb0RvYy54bWysVN9v2jAQfp+0/8Hy+0igwGhEqBgV0yTU&#10;VqJVn41jk2iOz7MNCfvrdzbhR9s9TePB3PnO3919d5fpXVsrshfWVaBz2u+llAjNoaj0Nqcvz8sv&#10;E0qcZ7pgCrTI6UE4ejf7/GnamEwMoARVCEsQRLusMTktvTdZkjheipq5Hhih0SjB1syjardJYVmD&#10;6LVKBmk6ThqwhbHAhXN4e3800lnEl1Jw/yilE56onGJuPp42nptwJrMpy7aWmbLiXRrsH7KoWaUx&#10;6BnqnnlGdrb6AFVX3IID6Xsc6gSkrLiINWA1/fRdNeuSGRFrQXKcOdPk/h8sf9ivzZMlvv0GLTYw&#10;ENIYlzm8DPW00tbhHzMlaEcKD2faROsJD49uR5ObIZo42ibjfjqOvCaX18Y6/11ATYKQU4ttiWyx&#10;/cp5jIiuJ5cQzIGqimWlVFQObqEs2TPsIDa+gIYSxZzHy5wu4y8kjRBvnilNmpyOb0ZpjPTGFmKd&#10;MTeK8Z8fERBPaYS9kBEk327ajqENFAckzsJxppzhywpxV5jaE7M4REgILoZ/xEMqwGSgkygpwf7+&#10;233wx96ilZIGhzKn7teOWYEV/9DY9dv+MPDsozIcfR2gYq8tm2uL3tULQNb6uIKGRzH4e3USpYX6&#10;FfdnHqKiiWmOsXPqT+LCH1cF94+L+Tw64dwa5ld6bXiADi0KfD63r8yarsEeR+MBTuPLsnd9PvqG&#10;lxrmOw+yikMQCD6y2vGOMx8b2+1nWKprPXpdviKzPwAAAP//AwBQSwMEFAAGAAgAAAAhAJwkB7jf&#10;AAAACwEAAA8AAABkcnMvZG93bnJldi54bWxMj8FOwzAQRO9I/IO1SNyo3VClbYhTVZU4IkTKAW6u&#10;vSSm8TqK3TT063FPcNvRjmbelJvJdWzEIVhPEuYzAQxJe2OpkfC+f35YAQtRkVGdJ5TwgwE21e1N&#10;qQrjz/SGYx0blkIoFEpCG2NfcB50i06Fme+R0u/LD07FJIeGm0GdU7jreCZEzp2ylBpa1eOuRX2s&#10;T06CoQ9P+tO+XCzV2q4vr6tvPUp5fzdtn4BFnOKfGa74CR2qxHTwJzKBdRKWC5HQo4THPAd2NYjF&#10;OgN2SNcyy4BXJf+/ofoFAAD//wMAUEsBAi0AFAAGAAgAAAAhALaDOJL+AAAA4QEAABMAAAAAAAAA&#10;AAAAAAAAAAAAAFtDb250ZW50X1R5cGVzXS54bWxQSwECLQAUAAYACAAAACEAOP0h/9YAAACUAQAA&#10;CwAAAAAAAAAAAAAAAAAvAQAAX3JlbHMvLnJlbHNQSwECLQAUAAYACAAAACEAzm3W2EACAACNBAAA&#10;DgAAAAAAAAAAAAAAAAAuAgAAZHJzL2Uyb0RvYy54bWxQSwECLQAUAAYACAAAACEAnCQHuN8AAAAL&#10;AQAADwAAAAAAAAAAAAAAAACaBAAAZHJzL2Rvd25yZXYueG1sUEsFBgAAAAAEAAQA8wAAAKYFAAAA&#10;AA==&#10;" fillcolor="window" strokeweight=".5pt">
                <v:textbox>
                  <w:txbxContent>
                    <w:p w14:paraId="67FB382E" w14:textId="77777777" w:rsidR="000C36A9" w:rsidRPr="00765382" w:rsidRDefault="000C36A9" w:rsidP="000C36A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SECRETARÍA DE INVESTIGACION Y CREACIÓN</w:t>
                      </w:r>
                    </w:p>
                    <w:p w14:paraId="2BA732F3" w14:textId="77777777" w:rsidR="000C36A9" w:rsidRPr="00765382" w:rsidRDefault="000C36A9" w:rsidP="000C36A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FFHA- UNSJ</w:t>
                      </w:r>
                    </w:p>
                  </w:txbxContent>
                </v:textbox>
              </v:shape>
            </w:pict>
          </mc:Fallback>
        </mc:AlternateContent>
      </w:r>
      <w:r>
        <w:rPr>
          <w:rFonts w:asciiTheme="majorHAnsi" w:eastAsia="Times New Roman" w:hAnsiTheme="majorHAnsi" w:cs="Times New Roman"/>
          <w:noProof/>
          <w:sz w:val="28"/>
          <w:szCs w:val="28"/>
          <w:lang w:val="es-ES" w:eastAsia="es-ES"/>
        </w:rPr>
        <w:drawing>
          <wp:anchor distT="0" distB="0" distL="114300" distR="114300" simplePos="0" relativeHeight="251659264" behindDoc="0" locked="0" layoutInCell="1" allowOverlap="1" wp14:anchorId="54690A73" wp14:editId="5CC2B571">
            <wp:simplePos x="0" y="0"/>
            <wp:positionH relativeFrom="margin">
              <wp:posOffset>2644140</wp:posOffset>
            </wp:positionH>
            <wp:positionV relativeFrom="paragraph">
              <wp:posOffset>64135</wp:posOffset>
            </wp:positionV>
            <wp:extent cx="2149200" cy="1087200"/>
            <wp:effectExtent l="0" t="0" r="3810" b="0"/>
            <wp:wrapSquare wrapText="bothSides"/>
            <wp:docPr id="419930110"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930110" name="Imagen 419930110"/>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149200" cy="10872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0"/>
          <w:szCs w:val="20"/>
          <w:lang w:val="es-ES" w:eastAsia="es-ES"/>
        </w:rPr>
        <w:drawing>
          <wp:inline distT="0" distB="0" distL="0" distR="0" wp14:anchorId="34B79DD2" wp14:editId="032E5F1A">
            <wp:extent cx="1134000" cy="1098000"/>
            <wp:effectExtent l="0" t="0" r="9525" b="6985"/>
            <wp:docPr id="153716924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4000" cy="1098000"/>
                    </a:xfrm>
                    <a:prstGeom prst="rect">
                      <a:avLst/>
                    </a:prstGeom>
                    <a:noFill/>
                  </pic:spPr>
                </pic:pic>
              </a:graphicData>
            </a:graphic>
          </wp:inline>
        </w:drawing>
      </w:r>
      <w:r>
        <w:rPr>
          <w:rFonts w:ascii="Times New Roman" w:eastAsia="Times New Roman" w:hAnsi="Times New Roman" w:cs="Times New Roman"/>
          <w:sz w:val="20"/>
          <w:szCs w:val="20"/>
        </w:rPr>
        <w:t xml:space="preserve">   </w:t>
      </w:r>
      <w:r>
        <w:rPr>
          <w:rFonts w:asciiTheme="majorHAnsi" w:eastAsia="Times New Roman" w:hAnsiTheme="majorHAnsi" w:cs="Times New Roman"/>
          <w:noProof/>
          <w:sz w:val="28"/>
          <w:szCs w:val="28"/>
          <w:lang w:val="es-ES" w:eastAsia="es-ES"/>
        </w:rPr>
        <w:drawing>
          <wp:inline distT="0" distB="0" distL="0" distR="0" wp14:anchorId="25032BCF" wp14:editId="05B462FF">
            <wp:extent cx="1213200" cy="1083600"/>
            <wp:effectExtent l="0" t="0" r="6350" b="2540"/>
            <wp:docPr id="10370212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21275" name="Imagen 1037021275"/>
                    <pic:cNvPicPr/>
                  </pic:nvPicPr>
                  <pic:blipFill>
                    <a:blip r:embed="rId8">
                      <a:extLst>
                        <a:ext uri="{28A0092B-C50C-407E-A947-70E740481C1C}">
                          <a14:useLocalDpi xmlns:a14="http://schemas.microsoft.com/office/drawing/2010/main" val="0"/>
                        </a:ext>
                      </a:extLst>
                    </a:blip>
                    <a:stretch>
                      <a:fillRect/>
                    </a:stretch>
                  </pic:blipFill>
                  <pic:spPr>
                    <a:xfrm>
                      <a:off x="0" y="0"/>
                      <a:ext cx="1213200" cy="1083600"/>
                    </a:xfrm>
                    <a:prstGeom prst="rect">
                      <a:avLst/>
                    </a:prstGeom>
                  </pic:spPr>
                </pic:pic>
              </a:graphicData>
            </a:graphic>
          </wp:inline>
        </w:drawing>
      </w:r>
      <w:r>
        <w:rPr>
          <w:rFonts w:ascii="Times New Roman" w:eastAsia="Times New Roman" w:hAnsi="Times New Roman" w:cs="Times New Roman"/>
          <w:sz w:val="20"/>
          <w:szCs w:val="20"/>
        </w:rPr>
        <w:t xml:space="preserve">        </w:t>
      </w:r>
    </w:p>
    <w:p w14:paraId="2B68128E" w14:textId="77777777" w:rsidR="000C36A9" w:rsidRPr="000C36A9" w:rsidRDefault="000C36A9" w:rsidP="000C36A9">
      <w:pPr>
        <w:spacing w:after="160"/>
        <w:jc w:val="center"/>
        <w:rPr>
          <w:rFonts w:ascii="Times New Roman" w:eastAsia="Times New Roman" w:hAnsi="Times New Roman" w:cs="Times New Roman"/>
          <w:sz w:val="20"/>
          <w:szCs w:val="20"/>
        </w:rPr>
      </w:pPr>
    </w:p>
    <w:p w14:paraId="529C95EB" w14:textId="77777777" w:rsidR="000C36A9" w:rsidRPr="000C36A9" w:rsidRDefault="000C36A9" w:rsidP="000C36A9">
      <w:pPr>
        <w:spacing w:after="160"/>
        <w:jc w:val="center"/>
        <w:rPr>
          <w:rFonts w:ascii="Times New Roman" w:eastAsia="Times New Roman" w:hAnsi="Times New Roman" w:cs="Times New Roman"/>
          <w:sz w:val="20"/>
          <w:szCs w:val="20"/>
        </w:rPr>
      </w:pPr>
    </w:p>
    <w:p w14:paraId="5C304B62" w14:textId="77777777" w:rsidR="000C36A9" w:rsidRPr="000C36A9" w:rsidRDefault="000C36A9" w:rsidP="000C36A9">
      <w:pPr>
        <w:spacing w:after="20"/>
        <w:jc w:val="center"/>
        <w:rPr>
          <w:b/>
          <w:bCs/>
          <w:color w:val="8C6D1F"/>
          <w:spacing w:val="8"/>
          <w:sz w:val="16"/>
          <w:szCs w:val="16"/>
        </w:rPr>
      </w:pPr>
      <w:r>
        <w:rPr>
          <w:rFonts w:asciiTheme="majorHAnsi" w:eastAsia="Times New Roman" w:hAnsiTheme="majorHAnsi" w:cs="Times New Roman"/>
          <w:noProof/>
          <w:sz w:val="28"/>
          <w:szCs w:val="28"/>
          <w:lang w:val="es-ES" w:eastAsia="es-ES"/>
        </w:rPr>
        <mc:AlternateContent>
          <mc:Choice Requires="wps">
            <w:drawing>
              <wp:anchor distT="0" distB="0" distL="114300" distR="114300" simplePos="0" relativeHeight="251661312" behindDoc="0" locked="0" layoutInCell="1" allowOverlap="1" wp14:anchorId="74467CFE" wp14:editId="4F360A7E">
                <wp:simplePos x="0" y="0"/>
                <wp:positionH relativeFrom="column">
                  <wp:posOffset>55880</wp:posOffset>
                </wp:positionH>
                <wp:positionV relativeFrom="paragraph">
                  <wp:posOffset>26670</wp:posOffset>
                </wp:positionV>
                <wp:extent cx="1531620" cy="800100"/>
                <wp:effectExtent l="0" t="0" r="11430" b="19050"/>
                <wp:wrapNone/>
                <wp:docPr id="574228330" name="Cuadro de texto 7"/>
                <wp:cNvGraphicFramePr/>
                <a:graphic xmlns:a="http://schemas.openxmlformats.org/drawingml/2006/main">
                  <a:graphicData uri="http://schemas.microsoft.com/office/word/2010/wordprocessingShape">
                    <wps:wsp>
                      <wps:cNvSpPr txBox="1"/>
                      <wps:spPr>
                        <a:xfrm>
                          <a:off x="0" y="0"/>
                          <a:ext cx="1531620" cy="800100"/>
                        </a:xfrm>
                        <a:prstGeom prst="rect">
                          <a:avLst/>
                        </a:prstGeom>
                        <a:solidFill>
                          <a:sysClr val="window" lastClr="FFFFFF"/>
                        </a:solidFill>
                        <a:ln w="6350">
                          <a:gradFill>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gradFill>
                        </a:ln>
                      </wps:spPr>
                      <wps:txbx>
                        <w:txbxContent>
                          <w:p w14:paraId="4E1D1F24" w14:textId="77777777" w:rsidR="000C36A9" w:rsidRPr="0092742E" w:rsidRDefault="000C36A9" w:rsidP="000C36A9">
                            <w:pPr>
                              <w:jc w:val="cente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INSTITUTO DE FILOSOFIA</w:t>
                            </w:r>
                          </w:p>
                          <w:p w14:paraId="4E409134" w14:textId="77777777" w:rsidR="000C36A9" w:rsidRPr="0092742E" w:rsidRDefault="000C36A9" w:rsidP="000C36A9">
                            <w:pPr>
                              <w:jc w:val="cente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“EDUARDO PEÑAFORT</w:t>
                            </w:r>
                            <w:proofErr w:type="gramStart"/>
                            <w: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"FFHA</w:t>
                            </w:r>
                            <w:proofErr w:type="gramEnd"/>
                            <w: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UNSJ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67CFE" id="_x0000_s1027" type="#_x0000_t202" style="position:absolute;left:0;text-align:left;margin-left:4.4pt;margin-top:2.1pt;width:120.6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QIAAFYGAAAOAAAAZHJzL2Uyb0RvYy54bWy8VVtv2jAUfp+0/2D5fU2ghNKooWKtmCZ1&#10;bSU69dk4Tojk+Hi2IWG/fsdOArSrpm2axoOxz+0791xdt7UkO2FsBSqjo7OYEqE45JUqM/r1aflh&#10;Rol1TOVMghIZ3QtLr+fv3101OhVj2IDMhSFoRNm00RndOKfTKLJ8I2pmz0ALhcwCTM0cPk0Z5YY1&#10;aL2W0TiOp1EDJtcGuLAWqbcdk86D/aIQ3D0UhRWOyIyiby6cJpxrf0bzK5aWhulNxXs32F94UbNK&#10;IejB1C1zjGxN9ZOpuuIGLBTujEMdQVFUXIQYMJpR/Cqa1YZpEWLB5Fh9SJP9d2b5/W6lHw1x7Udo&#10;sYA+IY22qUWij6ctTO3/0VOCfEzh/pA20TrCvVJyPpqOkcWRN4sxjpDX6KitjXWfBNTEXzJqsCwh&#10;W2x3Zx0iougg4sEsyCpfVlKGx97eSEN2DCuIhc+hoUQy65CY0WX4eafRxAs1qUiT0el5Eg91OVgs&#10;LaJ606UlGjCZnYg15fqANEqm8WwcVOW2/gJ550ASd7GxFKnYWR31ciB7JzorwaHSnqJcTLxyCOk3&#10;kCaDzZdQyUD+JdTs/L9BYbH/BMs71k/daQYvBvIbYSHpUDFZKcL8akl8MtESsZxJkfed60UN6wuN&#10;D6mwDsd29jfXrltSDQqesoZ8jxNgoFsOVvNlhW16hz32yAxuA0TBDece8CgkYFdBf6NkA+b7W3Qv&#10;j0OKXEoa3C4Ztd+2zAhs3c8KO+5yNJmgWRcek+TCT4855axPOWpb3wC2/wjD1TxcvbyTw7UwUD/j&#10;Ilx4VGQxxRE7o2643rhu5+Ei5WKxCEK4gDRzd2qluTftG9MP4VP7zIzuJ9XhjN/DsIdY+mpgO1mv&#10;qWCxdVBUYZqPWe3Tj8urG4hu0frtePoOUsfPwfwHAAAA//8DAFBLAwQUAAYACAAAACEAwroLh9oA&#10;AAAHAQAADwAAAGRycy9kb3ducmV2LnhtbEyPzU7DMBCE70i8g7VI3KhN+FFI41QIiSNCBA5wc+1t&#10;YojXUeymoU/PcoLjaEYz39SbJQxixin5SBouVwoEko3OU6fh7fXxogSRsiFnhkio4RsTbJrTk9pU&#10;Lh7oBec2d4JLKFVGQ5/zWEmZbI/BpFUckdjbxSmYzHLqpJvMgcvDIAulbmUwnnihNyM+9Gi/2n3Q&#10;4Og9kv3wT0dPrfV3x+fy085an58t92sQGZf8F4ZffEaHhpm2cU8uiUFDyeBZw3UBgt3iRvGzLceu&#10;VAGyqeV//uYHAAD//wMAUEsBAi0AFAAGAAgAAAAhALaDOJL+AAAA4QEAABMAAAAAAAAAAAAAAAAA&#10;AAAAAFtDb250ZW50X1R5cGVzXS54bWxQSwECLQAUAAYACAAAACEAOP0h/9YAAACUAQAACwAAAAAA&#10;AAAAAAAAAAAvAQAAX3JlbHMvLnJlbHNQSwECLQAUAAYACAAAACEA1fo/grECAABWBgAADgAAAAAA&#10;AAAAAAAAAAAuAgAAZHJzL2Uyb0RvYy54bWxQSwECLQAUAAYACAAAACEAwroLh9oAAAAHAQAADwAA&#10;AAAAAAAAAAAAAAALBQAAZHJzL2Rvd25yZXYueG1sUEsFBgAAAAAEAAQA8wAAABIGAAAAAA==&#10;" fillcolor="window" strokeweight=".5pt">
                <v:textbox>
                  <w:txbxContent>
                    <w:p w14:paraId="4E1D1F24" w14:textId="77777777" w:rsidR="000C36A9" w:rsidRPr="0092742E" w:rsidRDefault="000C36A9" w:rsidP="000C36A9">
                      <w:pPr>
                        <w:jc w:val="cente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INSTITUTO DE FILOSOFIA</w:t>
                      </w:r>
                    </w:p>
                    <w:p w14:paraId="4E409134" w14:textId="77777777" w:rsidR="000C36A9" w:rsidRPr="0092742E" w:rsidRDefault="000C36A9" w:rsidP="000C36A9">
                      <w:pPr>
                        <w:jc w:val="cente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“EDUARDO PEÑAFORT"FFHA- UNSJ</w:t>
                      </w:r>
                    </w:p>
                  </w:txbxContent>
                </v:textbox>
              </v:shape>
            </w:pict>
          </mc:Fallback>
        </mc:AlternateContent>
      </w:r>
      <w:r>
        <w:rPr>
          <w:b/>
          <w:bCs/>
          <w:color w:val="8C6D1F"/>
          <w:spacing w:val="8"/>
          <w:sz w:val="16"/>
          <w:szCs w:val="16"/>
        </w:rPr>
        <w:t xml:space="preserve">                      </w:t>
      </w:r>
      <w:r>
        <w:rPr>
          <w:b/>
          <w:bCs/>
          <w:noProof/>
          <w:color w:val="8C6D1F"/>
          <w:spacing w:val="8"/>
          <w:sz w:val="16"/>
          <w:szCs w:val="16"/>
        </w:rPr>
        <w:t xml:space="preserve">                                     </w:t>
      </w:r>
      <w:r>
        <w:rPr>
          <w:b/>
          <w:bCs/>
          <w:noProof/>
          <w:color w:val="8C6D1F"/>
          <w:spacing w:val="8"/>
          <w:sz w:val="16"/>
          <w:szCs w:val="16"/>
          <w:lang w:val="es-ES" w:eastAsia="es-ES"/>
        </w:rPr>
        <w:drawing>
          <wp:inline distT="0" distB="0" distL="0" distR="0" wp14:anchorId="673D651A" wp14:editId="395C94C6">
            <wp:extent cx="1889760" cy="838117"/>
            <wp:effectExtent l="0" t="0" r="0" b="635"/>
            <wp:docPr id="203007042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7797" b="33949"/>
                    <a:stretch>
                      <a:fillRect/>
                    </a:stretch>
                  </pic:blipFill>
                  <pic:spPr bwMode="auto">
                    <a:xfrm>
                      <a:off x="0" y="0"/>
                      <a:ext cx="1896763" cy="84122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sz w:val="20"/>
          <w:szCs w:val="20"/>
          <w:lang w:val="es-ES" w:eastAsia="es-ES"/>
        </w:rPr>
        <w:drawing>
          <wp:inline distT="0" distB="0" distL="0" distR="0" wp14:anchorId="2FC45336" wp14:editId="19B90BF2">
            <wp:extent cx="2428875" cy="927735"/>
            <wp:effectExtent l="0" t="0" r="9525" b="5715"/>
            <wp:docPr id="1839677407" name="Imagen 1839677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28875" cy="927735"/>
                    </a:xfrm>
                    <a:prstGeom prst="rect">
                      <a:avLst/>
                    </a:prstGeom>
                  </pic:spPr>
                </pic:pic>
              </a:graphicData>
            </a:graphic>
          </wp:inline>
        </w:drawing>
      </w:r>
    </w:p>
    <w:p w14:paraId="43C8E7D6" w14:textId="77777777" w:rsidR="0056522A" w:rsidRDefault="0056522A">
      <w:pPr>
        <w:spacing w:before="200"/>
      </w:pPr>
    </w:p>
    <w:p w14:paraId="0D72D28A" w14:textId="77777777" w:rsidR="0056522A" w:rsidRDefault="0056522A">
      <w:pPr>
        <w:spacing w:before="200"/>
      </w:pPr>
    </w:p>
    <w:p w14:paraId="0903AACA" w14:textId="77777777" w:rsidR="00BB7F83" w:rsidRDefault="002B7725">
      <w:pPr>
        <w:spacing w:after="120"/>
        <w:jc w:val="center"/>
      </w:pPr>
      <w:r>
        <w:rPr>
          <w:noProof/>
          <w:lang w:val="es-ES" w:eastAsia="es-ES"/>
        </w:rPr>
        <w:drawing>
          <wp:inline distT="0" distB="0" distL="0" distR="0" wp14:anchorId="44DF6E60" wp14:editId="44DF6E61">
            <wp:extent cx="5334000" cy="95250"/>
            <wp:effectExtent l="0" t="0" r="0" b="0"/>
            <wp:docPr id="1693034528" name="Imagen 169303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334000" cy="95250"/>
                    </a:xfrm>
                    <a:prstGeom prst="rect">
                      <a:avLst/>
                    </a:prstGeom>
                  </pic:spPr>
                </pic:pic>
              </a:graphicData>
            </a:graphic>
          </wp:inline>
        </w:drawing>
      </w:r>
    </w:p>
    <w:sectPr w:rsidR="00BB7F83">
      <w:pgSz w:w="11906" w:h="16838"/>
      <w:pgMar w:top="700" w:right="1000" w:bottom="7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F224A"/>
    <w:multiLevelType w:val="hybridMultilevel"/>
    <w:tmpl w:val="4AFAB8F4"/>
    <w:lvl w:ilvl="0" w:tplc="1806FCEA">
      <w:start w:val="1"/>
      <w:numFmt w:val="bullet"/>
      <w:lvlText w:val="●"/>
      <w:lvlJc w:val="left"/>
      <w:pPr>
        <w:ind w:left="720" w:hanging="360"/>
      </w:pPr>
    </w:lvl>
    <w:lvl w:ilvl="1" w:tplc="4412BCDC">
      <w:start w:val="1"/>
      <w:numFmt w:val="bullet"/>
      <w:lvlText w:val="○"/>
      <w:lvlJc w:val="left"/>
      <w:pPr>
        <w:ind w:left="1440" w:hanging="360"/>
      </w:pPr>
    </w:lvl>
    <w:lvl w:ilvl="2" w:tplc="F482E374">
      <w:start w:val="1"/>
      <w:numFmt w:val="bullet"/>
      <w:lvlText w:val="■"/>
      <w:lvlJc w:val="left"/>
      <w:pPr>
        <w:ind w:left="2160" w:hanging="360"/>
      </w:pPr>
    </w:lvl>
    <w:lvl w:ilvl="3" w:tplc="9FEEE10C">
      <w:start w:val="1"/>
      <w:numFmt w:val="bullet"/>
      <w:lvlText w:val="●"/>
      <w:lvlJc w:val="left"/>
      <w:pPr>
        <w:ind w:left="2880" w:hanging="360"/>
      </w:pPr>
    </w:lvl>
    <w:lvl w:ilvl="4" w:tplc="0FC20640">
      <w:start w:val="1"/>
      <w:numFmt w:val="bullet"/>
      <w:lvlText w:val="○"/>
      <w:lvlJc w:val="left"/>
      <w:pPr>
        <w:ind w:left="3600" w:hanging="360"/>
      </w:pPr>
    </w:lvl>
    <w:lvl w:ilvl="5" w:tplc="23DE8910">
      <w:start w:val="1"/>
      <w:numFmt w:val="bullet"/>
      <w:lvlText w:val="■"/>
      <w:lvlJc w:val="left"/>
      <w:pPr>
        <w:ind w:left="4320" w:hanging="360"/>
      </w:pPr>
    </w:lvl>
    <w:lvl w:ilvl="6" w:tplc="9B5EE15E">
      <w:start w:val="1"/>
      <w:numFmt w:val="bullet"/>
      <w:lvlText w:val="●"/>
      <w:lvlJc w:val="left"/>
      <w:pPr>
        <w:ind w:left="5040" w:hanging="360"/>
      </w:pPr>
    </w:lvl>
    <w:lvl w:ilvl="7" w:tplc="86F27C92">
      <w:start w:val="1"/>
      <w:numFmt w:val="bullet"/>
      <w:lvlText w:val="●"/>
      <w:lvlJc w:val="left"/>
      <w:pPr>
        <w:ind w:left="5760" w:hanging="360"/>
      </w:pPr>
    </w:lvl>
    <w:lvl w:ilvl="8" w:tplc="90408D6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F83"/>
    <w:rsid w:val="000119B9"/>
    <w:rsid w:val="00082EDC"/>
    <w:rsid w:val="000C36A9"/>
    <w:rsid w:val="000C48AB"/>
    <w:rsid w:val="00170B23"/>
    <w:rsid w:val="0021333B"/>
    <w:rsid w:val="00251ABB"/>
    <w:rsid w:val="00260883"/>
    <w:rsid w:val="002B7725"/>
    <w:rsid w:val="002D2D56"/>
    <w:rsid w:val="0032115D"/>
    <w:rsid w:val="003519C8"/>
    <w:rsid w:val="004024A5"/>
    <w:rsid w:val="004F17C6"/>
    <w:rsid w:val="00532BCF"/>
    <w:rsid w:val="0056522A"/>
    <w:rsid w:val="0057595B"/>
    <w:rsid w:val="005E4A1C"/>
    <w:rsid w:val="00617183"/>
    <w:rsid w:val="00636350"/>
    <w:rsid w:val="00673D70"/>
    <w:rsid w:val="00797D48"/>
    <w:rsid w:val="007A4DDA"/>
    <w:rsid w:val="007B12FA"/>
    <w:rsid w:val="00822C8B"/>
    <w:rsid w:val="00885D7F"/>
    <w:rsid w:val="00885FA8"/>
    <w:rsid w:val="0092742E"/>
    <w:rsid w:val="00A97E81"/>
    <w:rsid w:val="00AC0F65"/>
    <w:rsid w:val="00AD256B"/>
    <w:rsid w:val="00B33E07"/>
    <w:rsid w:val="00B46F7B"/>
    <w:rsid w:val="00BB7F83"/>
    <w:rsid w:val="00C853B9"/>
    <w:rsid w:val="00CB3D64"/>
    <w:rsid w:val="00D134B7"/>
    <w:rsid w:val="00EC2C70"/>
    <w:rsid w:val="00F3351E"/>
    <w:rsid w:val="00F666E0"/>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F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1"/>
        <w:szCs w:val="21"/>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customStyle="1" w:styleId="transition-colors">
    <w:name w:val="transition-colors"/>
    <w:basedOn w:val="Fuentedeprrafopredeter"/>
    <w:rsid w:val="00885FA8"/>
  </w:style>
  <w:style w:type="paragraph" w:styleId="Textodeglobo">
    <w:name w:val="Balloon Text"/>
    <w:basedOn w:val="Normal"/>
    <w:link w:val="TextodegloboCar"/>
    <w:uiPriority w:val="99"/>
    <w:semiHidden/>
    <w:unhideWhenUsed/>
    <w:rsid w:val="002D2D56"/>
    <w:rPr>
      <w:rFonts w:ascii="Tahoma" w:hAnsi="Tahoma" w:cs="Tahoma"/>
      <w:sz w:val="16"/>
      <w:szCs w:val="16"/>
    </w:rPr>
  </w:style>
  <w:style w:type="character" w:customStyle="1" w:styleId="TextodegloboCar">
    <w:name w:val="Texto de globo Car"/>
    <w:basedOn w:val="Fuentedeprrafopredeter"/>
    <w:link w:val="Textodeglobo"/>
    <w:uiPriority w:val="99"/>
    <w:semiHidden/>
    <w:rsid w:val="002D2D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1"/>
        <w:szCs w:val="21"/>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customStyle="1" w:styleId="transition-colors">
    <w:name w:val="transition-colors"/>
    <w:basedOn w:val="Fuentedeprrafopredeter"/>
    <w:rsid w:val="00885FA8"/>
  </w:style>
  <w:style w:type="paragraph" w:styleId="Textodeglobo">
    <w:name w:val="Balloon Text"/>
    <w:basedOn w:val="Normal"/>
    <w:link w:val="TextodegloboCar"/>
    <w:uiPriority w:val="99"/>
    <w:semiHidden/>
    <w:unhideWhenUsed/>
    <w:rsid w:val="002D2D56"/>
    <w:rPr>
      <w:rFonts w:ascii="Tahoma" w:hAnsi="Tahoma" w:cs="Tahoma"/>
      <w:sz w:val="16"/>
      <w:szCs w:val="16"/>
    </w:rPr>
  </w:style>
  <w:style w:type="character" w:customStyle="1" w:styleId="TextodegloboCar">
    <w:name w:val="Texto de globo Car"/>
    <w:basedOn w:val="Fuentedeprrafopredeter"/>
    <w:link w:val="Textodeglobo"/>
    <w:uiPriority w:val="99"/>
    <w:semiHidden/>
    <w:rsid w:val="002D2D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1680</Words>
  <Characters>9240</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Sergio Guzmán</cp:lastModifiedBy>
  <cp:revision>2</cp:revision>
  <cp:lastPrinted>2026-10-20T22:46:00Z</cp:lastPrinted>
  <dcterms:created xsi:type="dcterms:W3CDTF">2026-11-02T00:21:00Z</dcterms:created>
  <dcterms:modified xsi:type="dcterms:W3CDTF">2026-11-02T00:21:00Z</dcterms:modified>
</cp:coreProperties>
</file>