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EE314" w14:textId="74FB980E" w:rsidR="00C76EF3" w:rsidRDefault="00C76EF3" w:rsidP="00C76EF3">
      <w:pPr>
        <w:rPr>
          <w:b/>
          <w:bCs/>
        </w:rPr>
      </w:pPr>
      <w:r>
        <w:rPr>
          <w:b/>
          <w:bCs/>
        </w:rPr>
        <w:t>Sobre las obras</w:t>
      </w:r>
    </w:p>
    <w:p w14:paraId="463DB375" w14:textId="77777777" w:rsidR="00D9689E" w:rsidRDefault="00D9689E" w:rsidP="00C76EF3">
      <w:pPr>
        <w:rPr>
          <w:b/>
          <w:bCs/>
        </w:rPr>
      </w:pPr>
    </w:p>
    <w:p w14:paraId="43DE8782" w14:textId="3D502239" w:rsidR="00C76EF3" w:rsidRPr="00E6170A" w:rsidRDefault="00C76EF3" w:rsidP="00C76EF3">
      <w:proofErr w:type="spellStart"/>
      <w:r w:rsidRPr="00E6170A">
        <w:rPr>
          <w:b/>
          <w:bCs/>
        </w:rPr>
        <w:t>Dixtuor</w:t>
      </w:r>
      <w:proofErr w:type="spellEnd"/>
      <w:r w:rsidRPr="00E6170A">
        <w:rPr>
          <w:b/>
          <w:bCs/>
        </w:rPr>
        <w:t xml:space="preserve"> para instrumentos de viento en re mayor, </w:t>
      </w:r>
      <w:proofErr w:type="spellStart"/>
      <w:r w:rsidRPr="00E6170A">
        <w:rPr>
          <w:b/>
          <w:bCs/>
        </w:rPr>
        <w:t>op</w:t>
      </w:r>
      <w:proofErr w:type="spellEnd"/>
      <w:r w:rsidRPr="00E6170A">
        <w:rPr>
          <w:b/>
          <w:bCs/>
        </w:rPr>
        <w:t>. 14 (1906</w:t>
      </w:r>
      <w:r w:rsidR="00BE3C98" w:rsidRPr="00E6170A">
        <w:rPr>
          <w:b/>
          <w:bCs/>
        </w:rPr>
        <w:t>)</w:t>
      </w:r>
      <w:r w:rsidR="00BE3C98">
        <w:rPr>
          <w:b/>
          <w:bCs/>
        </w:rPr>
        <w:t xml:space="preserve"> de</w:t>
      </w:r>
      <w:r>
        <w:rPr>
          <w:b/>
          <w:bCs/>
        </w:rPr>
        <w:t xml:space="preserve"> </w:t>
      </w:r>
      <w:r w:rsidRPr="00E6170A">
        <w:rPr>
          <w:b/>
          <w:bCs/>
        </w:rPr>
        <w:t>George Enescu (1881–1955)</w:t>
      </w:r>
      <w:r>
        <w:rPr>
          <w:b/>
          <w:bCs/>
        </w:rPr>
        <w:t>.</w:t>
      </w:r>
    </w:p>
    <w:p w14:paraId="4B01531A" w14:textId="77777777" w:rsidR="00C76EF3" w:rsidRPr="00E6170A" w:rsidRDefault="00C76EF3" w:rsidP="00C76EF3">
      <w:r w:rsidRPr="00E6170A">
        <w:t>George Enescu fue una de las personalidades musicales más completas de la primera mitad del siglo XX: compositor, violinista, pianista, director y pedagogo. Nacido en Rumania, estudió desde niño en Viena y posteriormente en París, donde recibió clases de compositores como Jules Massenet y Gabriel Fauré. Esta doble formación —centroeuropea y francesa— sería decisiva para el desarrollo de su lenguaje.</w:t>
      </w:r>
    </w:p>
    <w:p w14:paraId="0CDDF439" w14:textId="77777777" w:rsidR="00C76EF3" w:rsidRPr="00E6170A" w:rsidRDefault="00C76EF3" w:rsidP="00C76EF3">
      <w:proofErr w:type="spellStart"/>
      <w:r w:rsidRPr="00E6170A">
        <w:t>Enescu</w:t>
      </w:r>
      <w:proofErr w:type="spellEnd"/>
      <w:r w:rsidRPr="00E6170A">
        <w:t xml:space="preserve"> compuso su </w:t>
      </w:r>
      <w:proofErr w:type="spellStart"/>
      <w:r w:rsidRPr="00E6170A">
        <w:rPr>
          <w:i/>
          <w:iCs/>
        </w:rPr>
        <w:t>Dixtuor</w:t>
      </w:r>
      <w:proofErr w:type="spellEnd"/>
      <w:r w:rsidRPr="00E6170A">
        <w:t> en París en 1906. Tenía solamente veinticinco años, pero ya había escrito obras tan importantes como las dos primeras </w:t>
      </w:r>
      <w:r w:rsidRPr="00E6170A">
        <w:rPr>
          <w:i/>
          <w:iCs/>
        </w:rPr>
        <w:t>Rapsodias rumanas</w:t>
      </w:r>
      <w:r w:rsidRPr="00E6170A">
        <w:t>. El </w:t>
      </w:r>
      <w:proofErr w:type="spellStart"/>
      <w:r w:rsidRPr="00E6170A">
        <w:rPr>
          <w:i/>
          <w:iCs/>
        </w:rPr>
        <w:t>Dixtuor</w:t>
      </w:r>
      <w:proofErr w:type="spellEnd"/>
      <w:r w:rsidRPr="00E6170A">
        <w:t> pertenece, sin embargo, a un mundo muy diferente. En lugar del carácter abiertamente folclórico y espectacular de las rapsodias, encontramos una música refinada, extensa y cuidadosamente elaborada.</w:t>
      </w:r>
    </w:p>
    <w:p w14:paraId="39EEF823" w14:textId="77777777" w:rsidR="00C76EF3" w:rsidRPr="00E6170A" w:rsidRDefault="00C76EF3" w:rsidP="00C76EF3">
      <w:r w:rsidRPr="00E6170A">
        <w:t>La obra está escrita para </w:t>
      </w:r>
      <w:r w:rsidRPr="00E6170A">
        <w:rPr>
          <w:b/>
          <w:bCs/>
        </w:rPr>
        <w:t>dos flautas, oboe, corno inglés, dos clarinetes, dos fagotes y dos cornos</w:t>
      </w:r>
      <w:r w:rsidRPr="00E6170A">
        <w:t xml:space="preserve">. La elección de diez instrumentos permite a </w:t>
      </w:r>
      <w:proofErr w:type="spellStart"/>
      <w:r w:rsidRPr="00E6170A">
        <w:t>Enescu</w:t>
      </w:r>
      <w:proofErr w:type="spellEnd"/>
      <w:r w:rsidRPr="00E6170A">
        <w:t xml:space="preserve"> disponer de una extraordinaria variedad de combinaciones. Por momentos escuchamos pequeños grupos camerísticos; en otros, las diez voces se reúnen creando una sonoridad de sorprendente amplitud.</w:t>
      </w:r>
    </w:p>
    <w:p w14:paraId="1FB230DB" w14:textId="77777777" w:rsidR="00C76EF3" w:rsidRPr="00E6170A" w:rsidRDefault="00C76EF3" w:rsidP="00C76EF3">
      <w:r w:rsidRPr="00E6170A">
        <w:t>Una de las características fundamentales del </w:t>
      </w:r>
      <w:proofErr w:type="spellStart"/>
      <w:r w:rsidRPr="00E6170A">
        <w:rPr>
          <w:i/>
          <w:iCs/>
        </w:rPr>
        <w:t>Dixtuor</w:t>
      </w:r>
      <w:proofErr w:type="spellEnd"/>
      <w:r w:rsidRPr="00E6170A">
        <w:t xml:space="preserve"> es precisamente la manera en que </w:t>
      </w:r>
      <w:proofErr w:type="spellStart"/>
      <w:r w:rsidRPr="00E6170A">
        <w:t>Enescu</w:t>
      </w:r>
      <w:proofErr w:type="spellEnd"/>
      <w:r w:rsidRPr="00E6170A">
        <w:t xml:space="preserve"> evita tratar el conjunto como una masa homogénea. Cada instrumento conserva su personalidad. Las melodías pasan continuamente de una voz a otra, se transforman y generan nuevas líneas, de modo que la música parece encontrarse en permanente crecimiento.</w:t>
      </w:r>
    </w:p>
    <w:p w14:paraId="120908BE" w14:textId="77777777" w:rsidR="00C76EF3" w:rsidRPr="00E6170A" w:rsidRDefault="00C76EF3" w:rsidP="00C76EF3">
      <w:r w:rsidRPr="00E6170A">
        <w:t>También se percibe la influencia de la música tradicional rumana, aunque de manera mucho más sutil que en las célebres </w:t>
      </w:r>
      <w:r w:rsidRPr="00E6170A">
        <w:rPr>
          <w:i/>
          <w:iCs/>
        </w:rPr>
        <w:t>Rapsodias</w:t>
      </w:r>
      <w:r w:rsidRPr="00E6170A">
        <w:t xml:space="preserve">. </w:t>
      </w:r>
      <w:proofErr w:type="spellStart"/>
      <w:r w:rsidRPr="00E6170A">
        <w:t>Enescu</w:t>
      </w:r>
      <w:proofErr w:type="spellEnd"/>
      <w:r w:rsidRPr="00E6170A">
        <w:t xml:space="preserve"> no cita necesariamente melodías populares concretas: incorpora giros modales, ornamentaciones y una particular flexibilidad rítmica que evocan el mundo musical de su infancia.</w:t>
      </w:r>
    </w:p>
    <w:p w14:paraId="7FA129ED" w14:textId="77777777" w:rsidR="00C76EF3" w:rsidRPr="00E6170A" w:rsidRDefault="00C76EF3" w:rsidP="00C76EF3">
      <w:r w:rsidRPr="00E6170A">
        <w:t>El </w:t>
      </w:r>
      <w:proofErr w:type="spellStart"/>
      <w:r w:rsidRPr="00E6170A">
        <w:rPr>
          <w:i/>
          <w:iCs/>
        </w:rPr>
        <w:t>Dixtuor</w:t>
      </w:r>
      <w:proofErr w:type="spellEnd"/>
      <w:r w:rsidRPr="00E6170A">
        <w:t> constituye así una de las grandes obras para conjunto de vientos del comienzo del siglo XX. Es música de cámara por su atención al detalle y por la independencia de cada intérprete, pero posee al mismo tiempo la amplitud de pensamiento y la riqueza tímbrica de una obra sinfónica.</w:t>
      </w:r>
    </w:p>
    <w:p w14:paraId="64D25F2F" w14:textId="77777777" w:rsidR="00C76EF3" w:rsidRPr="00E6170A" w:rsidRDefault="00C76EF3" w:rsidP="00C76EF3"/>
    <w:p w14:paraId="759A721A" w14:textId="34D5F188" w:rsidR="00C76EF3" w:rsidRPr="00E6170A" w:rsidRDefault="00C76EF3" w:rsidP="00C76EF3">
      <w:r w:rsidRPr="00E6170A">
        <w:rPr>
          <w:b/>
          <w:bCs/>
        </w:rPr>
        <w:t>Concierto para violonchelo y orquesta de viento (1980)</w:t>
      </w:r>
      <w:r>
        <w:rPr>
          <w:b/>
          <w:bCs/>
        </w:rPr>
        <w:t xml:space="preserve"> </w:t>
      </w:r>
      <w:r>
        <w:rPr>
          <w:b/>
          <w:bCs/>
        </w:rPr>
        <w:t xml:space="preserve">de </w:t>
      </w:r>
      <w:r w:rsidRPr="00E6170A">
        <w:rPr>
          <w:b/>
          <w:bCs/>
        </w:rPr>
        <w:t>Friedrich Gulda (1930–2000)</w:t>
      </w:r>
    </w:p>
    <w:p w14:paraId="41183C17" w14:textId="77777777" w:rsidR="00C76EF3" w:rsidRPr="00E6170A" w:rsidRDefault="00C76EF3" w:rsidP="00C76EF3">
      <w:r w:rsidRPr="00E6170A">
        <w:t>Friedrich Gulda fue una de las personalidades más singulares de la vida musical europea de la segunda mitad del siglo XX. Pianista austríaco de extraordinaria reputación internacional, fue especialmente admirado por sus interpretaciones de Mozart, Beethoven y Bach. Al mismo tiempo, rechazó desde muy temprano la división estricta entre la llamada música “seria” y las demás formas de expresión musical.</w:t>
      </w:r>
    </w:p>
    <w:p w14:paraId="59C626E1" w14:textId="77777777" w:rsidR="00C76EF3" w:rsidRPr="00E6170A" w:rsidRDefault="00C76EF3" w:rsidP="00C76EF3">
      <w:r w:rsidRPr="00E6170A">
        <w:t>Gulda fue un apasionado intérprete de jazz, improvisador y compositor. Podía interpretar una sonata de Beethoven en una sala de conciertos y aparecer poco después tocando jazz en un club. Para él, estas actividades no representaban contradicciones: formaban parte de una misma concepción libre de la música.</w:t>
      </w:r>
    </w:p>
    <w:p w14:paraId="21CE6E7D" w14:textId="77777777" w:rsidR="00C76EF3" w:rsidRPr="00E6170A" w:rsidRDefault="00C76EF3" w:rsidP="00C76EF3">
      <w:r w:rsidRPr="00E6170A">
        <w:lastRenderedPageBreak/>
        <w:t>Su </w:t>
      </w:r>
      <w:r w:rsidRPr="00E6170A">
        <w:rPr>
          <w:b/>
          <w:bCs/>
        </w:rPr>
        <w:t>Concierto para violonchelo y orquesta de viento</w:t>
      </w:r>
      <w:r w:rsidRPr="00E6170A">
        <w:t>, compuesto en 1980 para el violonchelista Heinrich Schiff, es probablemente la expresión más conocida de esa filosofía.</w:t>
      </w:r>
    </w:p>
    <w:p w14:paraId="077188B5" w14:textId="77777777" w:rsidR="00C76EF3" w:rsidRPr="00E6170A" w:rsidRDefault="00C76EF3" w:rsidP="00C76EF3">
      <w:r w:rsidRPr="00E6170A">
        <w:t>Ya la formación instrumental revela que no estamos ante un concierto convencional. El violonchelo solista se enfrenta a una agrupación formada por </w:t>
      </w:r>
      <w:r w:rsidRPr="00E6170A">
        <w:rPr>
          <w:b/>
          <w:bCs/>
        </w:rPr>
        <w:t>instrumentos de viento, contrabajo, guitarra eléctrica, batería y percusión</w:t>
      </w:r>
      <w:r w:rsidRPr="00E6170A">
        <w:t>. La sonoridad puede recordar alternativamente a una orquesta de cámara, una </w:t>
      </w:r>
      <w:proofErr w:type="spellStart"/>
      <w:r w:rsidRPr="00E6170A">
        <w:rPr>
          <w:i/>
          <w:iCs/>
        </w:rPr>
        <w:t>big</w:t>
      </w:r>
      <w:proofErr w:type="spellEnd"/>
      <w:r w:rsidRPr="00E6170A">
        <w:rPr>
          <w:i/>
          <w:iCs/>
        </w:rPr>
        <w:t xml:space="preserve"> band</w:t>
      </w:r>
      <w:r w:rsidRPr="00E6170A">
        <w:t>, una banda de música o un grupo de rock.</w:t>
      </w:r>
    </w:p>
    <w:p w14:paraId="29962C52" w14:textId="77777777" w:rsidR="00C76EF3" w:rsidRPr="00E6170A" w:rsidRDefault="00C76EF3" w:rsidP="00C76EF3">
      <w:r w:rsidRPr="00E6170A">
        <w:t>Pero Gulda no intenta simplemente introducir elementos populares en una forma clásica. Su principio fundamental es la coexistencia de estilos diferentes. Mozart, jazz, rock, música de los Alpes y música de banda aparecen uno junto al otro sin necesidad de justificar su presencia.</w:t>
      </w:r>
    </w:p>
    <w:p w14:paraId="012F11D8" w14:textId="77777777" w:rsidR="00C76EF3" w:rsidRPr="00E6170A" w:rsidRDefault="00C76EF3" w:rsidP="00C76EF3">
      <w:r w:rsidRPr="00E6170A">
        <w:t xml:space="preserve">La elegancia y la simetría de la danza clásica contrastan radicalmente con el rock del primer movimiento </w:t>
      </w:r>
    </w:p>
    <w:p w14:paraId="05CC4CF6" w14:textId="77777777" w:rsidR="00C76EF3" w:rsidRPr="00E6170A" w:rsidRDefault="00C76EF3" w:rsidP="00C76EF3"/>
    <w:p w14:paraId="74499060" w14:textId="77777777" w:rsidR="003D7B4C" w:rsidRDefault="003D7B4C"/>
    <w:sectPr w:rsidR="003D7B4C" w:rsidSect="00EA0AF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EF3"/>
    <w:rsid w:val="003D7B4C"/>
    <w:rsid w:val="006871B6"/>
    <w:rsid w:val="0072141C"/>
    <w:rsid w:val="00BE3C98"/>
    <w:rsid w:val="00C76EF3"/>
    <w:rsid w:val="00D9689E"/>
    <w:rsid w:val="00EA0A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61266"/>
  <w15:chartTrackingRefBased/>
  <w15:docId w15:val="{0E983CA1-15E2-4CD3-972D-38364A92D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EF3"/>
  </w:style>
  <w:style w:type="paragraph" w:styleId="Ttulo1">
    <w:name w:val="heading 1"/>
    <w:basedOn w:val="Normal"/>
    <w:next w:val="Normal"/>
    <w:link w:val="Ttulo1Car"/>
    <w:uiPriority w:val="9"/>
    <w:qFormat/>
    <w:rsid w:val="00C76E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C76E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C76EF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C76EF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C76EF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C76EF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76EF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76EF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76EF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76EF3"/>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C76EF3"/>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C76EF3"/>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C76EF3"/>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C76EF3"/>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C76EF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76EF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76EF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76EF3"/>
    <w:rPr>
      <w:rFonts w:eastAsiaTheme="majorEastAsia" w:cstheme="majorBidi"/>
      <w:color w:val="272727" w:themeColor="text1" w:themeTint="D8"/>
    </w:rPr>
  </w:style>
  <w:style w:type="paragraph" w:styleId="Ttulo">
    <w:name w:val="Title"/>
    <w:basedOn w:val="Normal"/>
    <w:next w:val="Normal"/>
    <w:link w:val="TtuloCar"/>
    <w:uiPriority w:val="10"/>
    <w:qFormat/>
    <w:rsid w:val="00C76E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76EF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76EF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76EF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76EF3"/>
    <w:pPr>
      <w:spacing w:before="160"/>
      <w:jc w:val="center"/>
    </w:pPr>
    <w:rPr>
      <w:i/>
      <w:iCs/>
      <w:color w:val="404040" w:themeColor="text1" w:themeTint="BF"/>
    </w:rPr>
  </w:style>
  <w:style w:type="character" w:customStyle="1" w:styleId="CitaCar">
    <w:name w:val="Cita Car"/>
    <w:basedOn w:val="Fuentedeprrafopredeter"/>
    <w:link w:val="Cita"/>
    <w:uiPriority w:val="29"/>
    <w:rsid w:val="00C76EF3"/>
    <w:rPr>
      <w:i/>
      <w:iCs/>
      <w:color w:val="404040" w:themeColor="text1" w:themeTint="BF"/>
    </w:rPr>
  </w:style>
  <w:style w:type="paragraph" w:styleId="Prrafodelista">
    <w:name w:val="List Paragraph"/>
    <w:basedOn w:val="Normal"/>
    <w:uiPriority w:val="34"/>
    <w:qFormat/>
    <w:rsid w:val="00C76EF3"/>
    <w:pPr>
      <w:ind w:left="720"/>
      <w:contextualSpacing/>
    </w:pPr>
  </w:style>
  <w:style w:type="character" w:styleId="nfasisintenso">
    <w:name w:val="Intense Emphasis"/>
    <w:basedOn w:val="Fuentedeprrafopredeter"/>
    <w:uiPriority w:val="21"/>
    <w:qFormat/>
    <w:rsid w:val="00C76EF3"/>
    <w:rPr>
      <w:i/>
      <w:iCs/>
      <w:color w:val="2F5496" w:themeColor="accent1" w:themeShade="BF"/>
    </w:rPr>
  </w:style>
  <w:style w:type="paragraph" w:styleId="Citadestacada">
    <w:name w:val="Intense Quote"/>
    <w:basedOn w:val="Normal"/>
    <w:next w:val="Normal"/>
    <w:link w:val="CitadestacadaCar"/>
    <w:uiPriority w:val="30"/>
    <w:qFormat/>
    <w:rsid w:val="00C76E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76EF3"/>
    <w:rPr>
      <w:i/>
      <w:iCs/>
      <w:color w:val="2F5496" w:themeColor="accent1" w:themeShade="BF"/>
    </w:rPr>
  </w:style>
  <w:style w:type="character" w:styleId="Referenciaintensa">
    <w:name w:val="Intense Reference"/>
    <w:basedOn w:val="Fuentedeprrafopredeter"/>
    <w:uiPriority w:val="32"/>
    <w:qFormat/>
    <w:rsid w:val="00C76EF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598</Words>
  <Characters>3292</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Marcela Ormeño</dc:creator>
  <cp:keywords/>
  <dc:description/>
  <cp:lastModifiedBy>Marcela Ormeño</cp:lastModifiedBy>
  <cp:revision>2</cp:revision>
  <dcterms:created xsi:type="dcterms:W3CDTF">2026-09-14T14:22:00Z</dcterms:created>
  <dcterms:modified xsi:type="dcterms:W3CDTF">2026-09-14T14:54:00Z</dcterms:modified>
</cp:coreProperties>
</file>